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43a7dcac9d8332620e709ffaf0e69aff5f235ac"/>
    <w:p>
      <w:pPr>
        <w:pStyle w:val="Heading1"/>
      </w:pPr>
      <w:r>
        <w:t xml:space="preserve">ОПИСАНИЕ функциональных характеристик программного обеспечения «КРАСОФТ Поиск»</w:t>
      </w:r>
    </w:p>
    <w:p>
      <w:r>
        <w:pict>
          <v:rect style="width:0;height:1.5pt" o:hralign="center" o:hrstd="t" o:hr="t"/>
        </w:pict>
      </w:r>
    </w:p>
    <w:p>
      <w:pPr>
        <w:pStyle w:val="FirstParagraph"/>
      </w:pPr>
      <w:r>
        <w:rPr>
          <w:b/>
          <w:bCs/>
        </w:rPr>
        <w:t xml:space="preserve">Общество с ограниченной ответственностью «Красофт» (ООО «Красофт»)</w:t>
      </w:r>
    </w:p>
    <w:p>
      <w:pPr>
        <w:pStyle w:val="BodyText"/>
      </w:pPr>
      <w:r>
        <w:t xml:space="preserve">ИНН: 9705142730 · ОГРН: 1207700109165 · КПП: 070001001</w:t>
      </w:r>
      <w:r>
        <w:t xml:space="preserve"> </w:t>
      </w:r>
      <w:r>
        <w:t xml:space="preserve">Юридический адрес: 360001, Кабардино-Балкарская Республика, г. Нальчик, ул. Мечиева, зд. 207а, этаж 4</w:t>
      </w:r>
      <w:r>
        <w:t xml:space="preserve"> </w:t>
      </w:r>
      <w:r>
        <w:t xml:space="preserve">Телефон: +7 (495) 540-55-99 · E-mail: info@krasoft.ru</w:t>
      </w:r>
      <w:r>
        <w:t xml:space="preserve"> </w:t>
      </w:r>
      <w:r>
        <w:t xml:space="preserve">Регистрационный номер в реестре операторов, осуществляющих обработку персональных данных (Роскомнадзор): № 26-26-052889</w:t>
      </w:r>
    </w:p>
    <w:p>
      <w:r>
        <w:pict>
          <v:rect style="width:0;height:1.5pt" o:hralign="center" o:hrstd="t" o:hr="t"/>
        </w:pict>
      </w:r>
    </w:p>
    <w:bookmarkStart w:id="9" w:name="X8f3031251fae9460a132b2b72a9ad2ba1751260"/>
    <w:p>
      <w:pPr>
        <w:pStyle w:val="Heading2"/>
      </w:pPr>
      <w:r>
        <w:t xml:space="preserve">ОПИСАНИЕ ФУНКЦИОНАЛЬНЫХ ХАРАКТЕРИСТИК ПРОГРАММНОГО ОБЕСПЕЧЕНИЯ «КРАСОФТ Поиск» (KrasoftSearch) И ИНФОРМАЦИЯ, НЕОБХОДИМАЯ ДЛЯ УСТАНОВКИ И ЭКСПЛУАТАЦИИ ПРОГРАММНОГО ОБЕСПЕЧЕНИЯ</w:t>
      </w:r>
    </w:p>
    <w:p>
      <w:pPr>
        <w:pStyle w:val="FirstParagraph"/>
      </w:pPr>
      <w:r>
        <w:t xml:space="preserve">Настоящий документ подготовлен в соответствии с требованиями Правил формирования и ведения единого реестра российских программ для электронных вычислительных машин и баз данных, утверждённых постановлением Правительства Российской Федерации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и содержит описание функциональных характеристик программного обеспечения «КРАСОФТ Поиск», а также информацию, необходимую для его установки и эксплуатации.</w:t>
      </w:r>
    </w:p>
    <w:p>
      <w:pPr>
        <w:pStyle w:val="BodyText"/>
      </w:pPr>
      <w:r>
        <w:t xml:space="preserve">Документ является публичным и размещается на странице сайта правообладателя в информационно-телекоммуникационной сети «Интернет».</w:t>
      </w:r>
    </w:p>
    <w:p>
      <w:pPr>
        <w:pStyle w:val="BodyText"/>
      </w:pPr>
      <w:r>
        <w:rPr>
          <w:b/>
          <w:bCs/>
        </w:rPr>
        <w:t xml:space="preserve">Версия программного обеспечения:</w:t>
      </w:r>
      <w:r>
        <w:t xml:space="preserve"> </w:t>
      </w:r>
      <w:r>
        <w:t xml:space="preserve">1.0</w:t>
      </w:r>
      <w:r>
        <w:t xml:space="preserve"> </w:t>
      </w:r>
      <w:r>
        <w:rPr>
          <w:b/>
          <w:bCs/>
        </w:rPr>
        <w:t xml:space="preserve">Версия документа:</w:t>
      </w:r>
      <w:r>
        <w:t xml:space="preserve"> </w:t>
      </w:r>
      <w:r>
        <w:t xml:space="preserve">1.0</w:t>
      </w:r>
    </w:p>
    <w:p>
      <w:r>
        <w:pict>
          <v:rect style="width:0;height:1.5pt" o:hralign="center" o:hrstd="t" o:hr="t"/>
        </w:pict>
      </w:r>
    </w:p>
    <w:bookmarkEnd w:id="9"/>
    <w:bookmarkStart w:id="13" w:name="общие-сведения-о-программном-обеспечении"/>
    <w:p>
      <w:pPr>
        <w:pStyle w:val="Heading2"/>
      </w:pPr>
      <w:r>
        <w:t xml:space="preserve">1. Общие сведения о программном обеспечении</w:t>
      </w:r>
    </w:p>
    <w:bookmarkStart w:id="10" w:name="наименование-и-правообладатель"/>
    <w:p>
      <w:pPr>
        <w:pStyle w:val="Heading3"/>
      </w:pPr>
      <w:r>
        <w:t xml:space="preserve">1.1. Наименование и правообладатель</w:t>
      </w:r>
    </w:p>
    <w:p>
      <w:pPr>
        <w:pStyle w:val="Compact"/>
        <w:numPr>
          <w:ilvl w:val="0"/>
          <w:numId w:val="1001"/>
        </w:numPr>
      </w:pPr>
      <w:r>
        <w:rPr>
          <w:b/>
          <w:bCs/>
        </w:rPr>
        <w:t xml:space="preserve">Наименование программного обеспечения:</w:t>
      </w:r>
      <w:r>
        <w:t xml:space="preserve"> </w:t>
      </w:r>
      <w:r>
        <w:t xml:space="preserve">«КРАСОФТ Поиск» (латиницей — KrasoftSearch), далее по тексту — «ПО», «Программа» или «КРАСОФТ Поиск».</w:t>
      </w:r>
    </w:p>
    <w:p>
      <w:pPr>
        <w:pStyle w:val="Compact"/>
        <w:numPr>
          <w:ilvl w:val="0"/>
          <w:numId w:val="1001"/>
        </w:numPr>
      </w:pPr>
      <w:r>
        <w:rPr>
          <w:b/>
          <w:bCs/>
        </w:rPr>
        <w:t xml:space="preserve">Правообладатель:</w:t>
      </w:r>
      <w:r>
        <w:t xml:space="preserve"> </w:t>
      </w:r>
      <w:r>
        <w:t xml:space="preserve">Общество с ограниченной ответственностью «Красофт» (ООО «Красофт»).</w:t>
      </w:r>
    </w:p>
    <w:p>
      <w:pPr>
        <w:pStyle w:val="Compact"/>
        <w:numPr>
          <w:ilvl w:val="0"/>
          <w:numId w:val="1001"/>
        </w:numPr>
      </w:pPr>
      <w:r>
        <w:rPr>
          <w:b/>
          <w:bCs/>
        </w:rPr>
        <w:t xml:space="preserve">Тип ПО:</w:t>
      </w:r>
      <w:r>
        <w:t xml:space="preserve"> </w:t>
      </w:r>
      <w:r>
        <w:t xml:space="preserve">прикладное программное обеспечение, веб-сервис (предоставляется по модели SaaS — программное обеспечение как услуга).</w:t>
      </w:r>
    </w:p>
    <w:p>
      <w:pPr>
        <w:pStyle w:val="Compact"/>
        <w:numPr>
          <w:ilvl w:val="0"/>
          <w:numId w:val="1001"/>
        </w:numPr>
      </w:pPr>
      <w:r>
        <w:rPr>
          <w:b/>
          <w:bCs/>
        </w:rPr>
        <w:t xml:space="preserve">Класс программного обеспечения по классификатору программ для электронных вычислительных машин и баз данных</w:t>
      </w:r>
      <w:r>
        <w:t xml:space="preserve"> </w:t>
      </w:r>
      <w:r>
        <w:t xml:space="preserve">(утверждён приказом Министерства цифрового развития, связи и массовых коммуникаций Российской Федерации от 22 сентября 2020 г. № 486 «Об утверждении классификатора программ для электронных вычислительных машин и баз данных»): «12.20 Информационные системы для решения специфических отраслевых задач».</w:t>
      </w:r>
    </w:p>
    <w:bookmarkEnd w:id="10"/>
    <w:bookmarkStart w:id="11" w:name="назначение-программного-обеспечения"/>
    <w:p>
      <w:pPr>
        <w:pStyle w:val="Heading3"/>
      </w:pPr>
      <w:r>
        <w:t xml:space="preserve">1.2. Назначение программного обеспечения</w:t>
      </w:r>
    </w:p>
    <w:p>
      <w:pPr>
        <w:pStyle w:val="FirstParagraph"/>
      </w:pPr>
      <w:r>
        <w:t xml:space="preserve">«КРАСОФТ Поиск» — это веб-сервис поиска и анализа сведений по реестрам государственных и корпоративных закупок Российской Федерации. ПО предназначено для оперативного поиска, фильтрации и анализа сведений о закупках, размещаемых в единой информационной системе в сфере закупок и иных открытых источниках, в том числе:</w:t>
      </w:r>
    </w:p>
    <w:p>
      <w:pPr>
        <w:pStyle w:val="Compact"/>
        <w:numPr>
          <w:ilvl w:val="0"/>
          <w:numId w:val="1002"/>
        </w:numPr>
      </w:pPr>
      <w:r>
        <w:t xml:space="preserve">извещений о закупках;</w:t>
      </w:r>
    </w:p>
    <w:p>
      <w:pPr>
        <w:pStyle w:val="Compact"/>
        <w:numPr>
          <w:ilvl w:val="0"/>
          <w:numId w:val="1002"/>
        </w:numPr>
      </w:pPr>
      <w:r>
        <w:t xml:space="preserve">контрактов (договоров) и сведений об их исполнении;</w:t>
      </w:r>
    </w:p>
    <w:p>
      <w:pPr>
        <w:pStyle w:val="Compact"/>
        <w:numPr>
          <w:ilvl w:val="0"/>
          <w:numId w:val="1002"/>
        </w:numPr>
      </w:pPr>
      <w:r>
        <w:t xml:space="preserve">сведений плана-графика закупок;</w:t>
      </w:r>
    </w:p>
    <w:p>
      <w:pPr>
        <w:pStyle w:val="Compact"/>
        <w:numPr>
          <w:ilvl w:val="0"/>
          <w:numId w:val="1002"/>
        </w:numPr>
      </w:pPr>
      <w:r>
        <w:t xml:space="preserve">объектов закупок (закупаемых товаров, работ, услуг);</w:t>
      </w:r>
    </w:p>
    <w:p>
      <w:pPr>
        <w:pStyle w:val="Compact"/>
        <w:numPr>
          <w:ilvl w:val="0"/>
          <w:numId w:val="1002"/>
        </w:numPr>
      </w:pPr>
      <w:r>
        <w:t xml:space="preserve">спецификаций извещений и контрактов.</w:t>
      </w:r>
    </w:p>
    <w:p>
      <w:pPr>
        <w:pStyle w:val="FirstParagraph"/>
      </w:pPr>
      <w:r>
        <w:t xml:space="preserve">ПО обеспечивает выполнение закупок по Федеральному закону от 5 апреля 2013 г. № 44-ФЗ «О контрактной системе в сфере закупок товаров, работ, услуг для обеспечения государственных и муниципальных нужд» и Федеральному закону от 18 июля 2011 г. № 223-ФЗ «О закупках товаров, работ, услуг отдельными видами юридических лиц» путём предоставления участникам закупок инструментов поиска подходящих процедур, мониторинга рынка, анализа конкурентной среды и заказчиков.</w:t>
      </w:r>
    </w:p>
    <w:p>
      <w:pPr>
        <w:pStyle w:val="BodyText"/>
      </w:pPr>
      <w:r>
        <w:t xml:space="preserve">Ключевыми отличительными возможностями ПО являются:</w:t>
      </w:r>
    </w:p>
    <w:p>
      <w:pPr>
        <w:pStyle w:val="Compact"/>
        <w:numPr>
          <w:ilvl w:val="0"/>
          <w:numId w:val="1003"/>
        </w:numPr>
      </w:pPr>
      <w:r>
        <w:t xml:space="preserve">мгновенный полнотекстовый и фасетный поиск по большим массивам данных закупок на основе предварительно построенного полнотекстового индекса;</w:t>
      </w:r>
    </w:p>
    <w:p>
      <w:pPr>
        <w:pStyle w:val="Compact"/>
        <w:numPr>
          <w:ilvl w:val="0"/>
          <w:numId w:val="1003"/>
        </w:numPr>
      </w:pPr>
      <w:r>
        <w:t xml:space="preserve">конструктор сохраняемых расширенных фильтров, позволяющий пользователю описывать собственные условия отбора по полям и справочникам;</w:t>
      </w:r>
    </w:p>
    <w:p>
      <w:pPr>
        <w:pStyle w:val="Compact"/>
        <w:numPr>
          <w:ilvl w:val="0"/>
          <w:numId w:val="1003"/>
        </w:numPr>
      </w:pPr>
      <w:r>
        <w:t xml:space="preserve">настройка рассылок уведомлений о новых закупках, удовлетворяющих сохранённым фильтрам.</w:t>
      </w:r>
    </w:p>
    <w:bookmarkEnd w:id="11"/>
    <w:bookmarkStart w:id="12" w:name="область-применения"/>
    <w:p>
      <w:pPr>
        <w:pStyle w:val="Heading3"/>
      </w:pPr>
      <w:r>
        <w:t xml:space="preserve">1.3. Область применения</w:t>
      </w:r>
    </w:p>
    <w:p>
      <w:pPr>
        <w:pStyle w:val="FirstParagraph"/>
      </w:pPr>
      <w:r>
        <w:t xml:space="preserve">Программное обеспечение применяется:</w:t>
      </w:r>
    </w:p>
    <w:p>
      <w:pPr>
        <w:pStyle w:val="Compact"/>
        <w:numPr>
          <w:ilvl w:val="0"/>
          <w:numId w:val="1004"/>
        </w:numPr>
      </w:pPr>
      <w:r>
        <w:t xml:space="preserve">организациями и индивидуальными предпринимателями — участниками закупок для поиска релевантных закупочных процедур и подготовки к участию;</w:t>
      </w:r>
    </w:p>
    <w:p>
      <w:pPr>
        <w:pStyle w:val="Compact"/>
        <w:numPr>
          <w:ilvl w:val="0"/>
          <w:numId w:val="1004"/>
        </w:numPr>
      </w:pPr>
      <w:r>
        <w:t xml:space="preserve">специалистами по тендерному сопровождению и отделами продаж для мониторинга закупочной активности заказчиков и конкурентов;</w:t>
      </w:r>
    </w:p>
    <w:p>
      <w:pPr>
        <w:pStyle w:val="Compact"/>
        <w:numPr>
          <w:ilvl w:val="0"/>
          <w:numId w:val="1004"/>
        </w:numPr>
      </w:pPr>
      <w:r>
        <w:t xml:space="preserve">аналитиками для исследования рынка закупок, ценового анализа и оценки конкуренции;</w:t>
      </w:r>
    </w:p>
    <w:p>
      <w:pPr>
        <w:pStyle w:val="Compact"/>
        <w:numPr>
          <w:ilvl w:val="0"/>
          <w:numId w:val="1004"/>
        </w:numPr>
      </w:pPr>
      <w:r>
        <w:t xml:space="preserve">организациями в сфере здравоохранения и фармацевтики — для специализированного поиска по медицинским справочникам (лекарственные препараты, медицинские изделия).</w:t>
      </w:r>
    </w:p>
    <w:p>
      <w:pPr>
        <w:pStyle w:val="FirstParagraph"/>
      </w:pPr>
      <w:r>
        <w:t xml:space="preserve">ПО эксплуатируется на территории Российской Федерации. Серверная инфраструктура размещается на территории Российской Федерации.</w:t>
      </w:r>
    </w:p>
    <w:p>
      <w:r>
        <w:pict>
          <v:rect style="width:0;height:1.5pt" o:hralign="center" o:hrstd="t" o:hr="t"/>
        </w:pict>
      </w:r>
    </w:p>
    <w:bookmarkEnd w:id="12"/>
    <w:bookmarkEnd w:id="13"/>
    <w:bookmarkStart w:id="20" w:name="функциональные-характеристики"/>
    <w:p>
      <w:pPr>
        <w:pStyle w:val="Heading2"/>
      </w:pPr>
      <w:r>
        <w:t xml:space="preserve">2. Функциональные характеристики</w:t>
      </w:r>
    </w:p>
    <w:bookmarkStart w:id="14" w:name="поиск-по-реестрам-закупок"/>
    <w:p>
      <w:pPr>
        <w:pStyle w:val="Heading3"/>
      </w:pPr>
      <w:r>
        <w:t xml:space="preserve">2.1. Поиск по реестрам закупок</w:t>
      </w:r>
    </w:p>
    <w:p>
      <w:pPr>
        <w:pStyle w:val="FirstParagraph"/>
      </w:pPr>
      <w:r>
        <w:t xml:space="preserve">Основной функциональной возможностью ПО является высокопроизводительный поиск по реестрам закупок, реализованный на основе поисковой подсистемы (полнотекстового индекса). Поиск выполняется по предварительно проиндексированным данным, что обеспечивает высокую скорость отклика на больших объёмах сведений.</w:t>
      </w:r>
    </w:p>
    <w:p>
      <w:pPr>
        <w:pStyle w:val="BodyText"/>
      </w:pPr>
      <w:r>
        <w:t xml:space="preserve">ПО поддерживает поиск по следующим категориям сведений:</w:t>
      </w:r>
    </w:p>
    <w:p>
      <w:pPr>
        <w:pStyle w:val="BodyText"/>
      </w:pPr>
      <w:r>
        <w:rPr>
          <w:b/>
          <w:bCs/>
        </w:rPr>
        <w:t xml:space="preserve">2.1.1. Извещения о закупках.</w:t>
      </w:r>
      <w:r>
        <w:t xml:space="preserve"> </w:t>
      </w:r>
      <w:r>
        <w:t xml:space="preserve">Поиск извещений о проведении закупочных процедур по Федеральным законам № 44-ФЗ и № 223-ФЗ, корпоративным закупкам, котировочным сессиям и иным видам процедур. Доступны: реестр извещений с постраничным выводом, карточка извещения с подробными сведениями (заказчик, начальная (максимальная) цена контракта, сроки, способ определения поставщика, регион, классификаторы предмета закупки), просмотр документов извещения, спецификаций (технического задания), связанных контрактов, протоколов и результатов процедур.</w:t>
      </w:r>
    </w:p>
    <w:p>
      <w:pPr>
        <w:pStyle w:val="BodyText"/>
      </w:pPr>
      <w:r>
        <w:rPr>
          <w:b/>
          <w:bCs/>
        </w:rPr>
        <w:t xml:space="preserve">2.1.2. Контракты.</w:t>
      </w:r>
      <w:r>
        <w:t xml:space="preserve"> </w:t>
      </w:r>
      <w:r>
        <w:t xml:space="preserve">Поиск заключённых контрактов (договоров) с возможностью просмотра карточки контракта: сведения о поставщике, заказчике, цене, предмете, сроках, связанных извещениях и документах.</w:t>
      </w:r>
    </w:p>
    <w:p>
      <w:pPr>
        <w:pStyle w:val="BodyText"/>
      </w:pPr>
      <w:r>
        <w:rPr>
          <w:b/>
          <w:bCs/>
        </w:rPr>
        <w:t xml:space="preserve">2.1.3. План-график закупок.</w:t>
      </w:r>
      <w:r>
        <w:t xml:space="preserve"> </w:t>
      </w:r>
      <w:r>
        <w:t xml:space="preserve">Поиск позиций плана-графика закупок с реконструкцией структуры плана и просмотром позиций и закупаемых товаров (работ, услуг) по позициям плана.</w:t>
      </w:r>
    </w:p>
    <w:p>
      <w:pPr>
        <w:pStyle w:val="BodyText"/>
      </w:pPr>
      <w:r>
        <w:rPr>
          <w:b/>
          <w:bCs/>
        </w:rPr>
        <w:t xml:space="preserve">2.1.4. Объекты закупок.</w:t>
      </w:r>
      <w:r>
        <w:t xml:space="preserve"> </w:t>
      </w:r>
      <w:r>
        <w:t xml:space="preserve">Поиск по объектам закупок (отдельным позициям закупаемых товаров, работ, услуг) с детализацией до уровня конкретной позиции. Поддерживается поиск объектов закупок в разрезе извещений, контрактов и плана-графика.</w:t>
      </w:r>
    </w:p>
    <w:p>
      <w:pPr>
        <w:pStyle w:val="BodyText"/>
      </w:pPr>
      <w:r>
        <w:rPr>
          <w:b/>
          <w:bCs/>
        </w:rPr>
        <w:t xml:space="preserve">2.1.5. Спецификации.</w:t>
      </w:r>
      <w:r>
        <w:t xml:space="preserve"> </w:t>
      </w:r>
      <w:r>
        <w:t xml:space="preserve">Поиск и просмотр спецификаций (технических заданий) извещений и контрактов, включая количественные и качественные характеристики закупаемой продукции, версии спецификаций.</w:t>
      </w:r>
    </w:p>
    <w:p>
      <w:pPr>
        <w:pStyle w:val="BodyText"/>
      </w:pPr>
      <w:r>
        <w:rPr>
          <w:b/>
          <w:bCs/>
        </w:rPr>
        <w:t xml:space="preserve">2.1.6. Исполнение контрактов.</w:t>
      </w:r>
      <w:r>
        <w:t xml:space="preserve"> </w:t>
      </w:r>
      <w:r>
        <w:t xml:space="preserve">Поиск и просмотр сведений об исполнении контрактов, в том числе об оплатах и о фактически поставленной продукции.</w:t>
      </w:r>
    </w:p>
    <w:p>
      <w:pPr>
        <w:pStyle w:val="BodyText"/>
      </w:pPr>
      <w:r>
        <w:t xml:space="preserve">Для всех категорий поиска поддерживаются следующие механизмы работы с результатами:</w:t>
      </w:r>
    </w:p>
    <w:p>
      <w:pPr>
        <w:pStyle w:val="Compact"/>
        <w:numPr>
          <w:ilvl w:val="0"/>
          <w:numId w:val="1005"/>
        </w:numPr>
      </w:pPr>
      <w:r>
        <w:rPr>
          <w:b/>
          <w:bCs/>
        </w:rPr>
        <w:t xml:space="preserve">Полнотекстовый поиск</w:t>
      </w:r>
      <w:r>
        <w:t xml:space="preserve"> </w:t>
      </w:r>
      <w:r>
        <w:t xml:space="preserve">по содержательным полям записей (наименование закупки, наименование объекта закупки, реквизиты и т. д.);</w:t>
      </w:r>
    </w:p>
    <w:p>
      <w:pPr>
        <w:pStyle w:val="Compact"/>
        <w:numPr>
          <w:ilvl w:val="0"/>
          <w:numId w:val="1005"/>
        </w:numPr>
      </w:pPr>
      <w:r>
        <w:rPr>
          <w:b/>
          <w:bCs/>
        </w:rPr>
        <w:t xml:space="preserve">Фасетная навигация (фасеты)</w:t>
      </w:r>
      <w:r>
        <w:t xml:space="preserve"> </w:t>
      </w:r>
      <w:r>
        <w:t xml:space="preserve">— отображение количества записей в разрезе значимых атрибутов (регион, заказчик, способ определения поставщика, отрасль, классификатор и т. п.) с возможностью уточнения выборки выбором фасета;</w:t>
      </w:r>
    </w:p>
    <w:p>
      <w:pPr>
        <w:pStyle w:val="Compact"/>
        <w:numPr>
          <w:ilvl w:val="0"/>
          <w:numId w:val="1005"/>
        </w:numPr>
      </w:pPr>
      <w:r>
        <w:rPr>
          <w:b/>
          <w:bCs/>
        </w:rPr>
        <w:t xml:space="preserve">Фильтрация</w:t>
      </w:r>
      <w:r>
        <w:t xml:space="preserve"> </w:t>
      </w:r>
      <w:r>
        <w:t xml:space="preserve">по множеству атрибутов (диапазоны цен, даты, регионы, классификаторы, статусы и др.);</w:t>
      </w:r>
    </w:p>
    <w:p>
      <w:pPr>
        <w:pStyle w:val="Compact"/>
        <w:numPr>
          <w:ilvl w:val="0"/>
          <w:numId w:val="1005"/>
        </w:numPr>
      </w:pPr>
      <w:r>
        <w:rPr>
          <w:b/>
          <w:bCs/>
        </w:rPr>
        <w:t xml:space="preserve">Сортировка</w:t>
      </w:r>
      <w:r>
        <w:t xml:space="preserve"> </w:t>
      </w:r>
      <w:r>
        <w:t xml:space="preserve">результатов по выбранным полям (по дате, по цене и др.) в прямом и обратном порядке;</w:t>
      </w:r>
    </w:p>
    <w:p>
      <w:pPr>
        <w:pStyle w:val="Compact"/>
        <w:numPr>
          <w:ilvl w:val="0"/>
          <w:numId w:val="1005"/>
        </w:numPr>
      </w:pPr>
      <w:r>
        <w:rPr>
          <w:b/>
          <w:bCs/>
        </w:rPr>
        <w:t xml:space="preserve">Постраничный вывод (пагинация)</w:t>
      </w:r>
      <w:r>
        <w:t xml:space="preserve"> </w:t>
      </w:r>
      <w:r>
        <w:t xml:space="preserve">результатов поиска с управляемым размером страницы.</w:t>
      </w:r>
    </w:p>
    <w:bookmarkEnd w:id="14"/>
    <w:bookmarkStart w:id="15" w:name="конструктор-расширенных-фильтров"/>
    <w:p>
      <w:pPr>
        <w:pStyle w:val="Heading3"/>
      </w:pPr>
      <w:r>
        <w:t xml:space="preserve">2.2. Конструктор расширенных фильтров</w:t>
      </w:r>
    </w:p>
    <w:p>
      <w:pPr>
        <w:pStyle w:val="FirstParagraph"/>
      </w:pPr>
      <w:r>
        <w:t xml:space="preserve">ПО предоставляет конструктор сохраняемых расширенных фильтров (advFilter), позволяющий пользователю формировать собственные правила отбора закупок без программирования.</w:t>
      </w:r>
    </w:p>
    <w:p>
      <w:pPr>
        <w:pStyle w:val="BodyText"/>
      </w:pPr>
      <w:r>
        <w:t xml:space="preserve">Возможности конструктора:</w:t>
      </w:r>
    </w:p>
    <w:p>
      <w:pPr>
        <w:pStyle w:val="Compact"/>
        <w:numPr>
          <w:ilvl w:val="0"/>
          <w:numId w:val="1006"/>
        </w:numPr>
      </w:pPr>
      <w:r>
        <w:t xml:space="preserve">задание</w:t>
      </w:r>
      <w:r>
        <w:t xml:space="preserve"> </w:t>
      </w:r>
      <w:r>
        <w:rPr>
          <w:b/>
          <w:bCs/>
        </w:rPr>
        <w:t xml:space="preserve">условий по полям и справочникам</w:t>
      </w:r>
      <w:r>
        <w:t xml:space="preserve"> </w:t>
      </w:r>
      <w:r>
        <w:t xml:space="preserve">записей реестров (например, по классификаторам предмета закупки, региону, заказчику, диапазону цены, ключевым словам);</w:t>
      </w:r>
    </w:p>
    <w:p>
      <w:pPr>
        <w:pStyle w:val="Compact"/>
        <w:numPr>
          <w:ilvl w:val="0"/>
          <w:numId w:val="1006"/>
        </w:numPr>
      </w:pPr>
      <w:r>
        <w:t xml:space="preserve">объединение условий в</w:t>
      </w:r>
      <w:r>
        <w:t xml:space="preserve"> </w:t>
      </w:r>
      <w:r>
        <w:rPr>
          <w:b/>
          <w:bCs/>
        </w:rPr>
        <w:t xml:space="preserve">логические группы</w:t>
      </w:r>
      <w:r>
        <w:t xml:space="preserve"> </w:t>
      </w:r>
      <w:r>
        <w:t xml:space="preserve">с операторами «И»/«ИЛИ»;</w:t>
      </w:r>
    </w:p>
    <w:p>
      <w:pPr>
        <w:pStyle w:val="Compact"/>
        <w:numPr>
          <w:ilvl w:val="0"/>
          <w:numId w:val="1006"/>
        </w:numPr>
      </w:pPr>
      <w:r>
        <w:t xml:space="preserve">добавление текстовых условий (ключевых слов, в том числе с учётом синонимов);</w:t>
      </w:r>
    </w:p>
    <w:p>
      <w:pPr>
        <w:pStyle w:val="Compact"/>
        <w:numPr>
          <w:ilvl w:val="0"/>
          <w:numId w:val="1006"/>
        </w:numPr>
      </w:pPr>
      <w:r>
        <w:t xml:space="preserve">выбор</w:t>
      </w:r>
      <w:r>
        <w:t xml:space="preserve"> </w:t>
      </w:r>
      <w:r>
        <w:rPr>
          <w:b/>
          <w:bCs/>
        </w:rPr>
        <w:t xml:space="preserve">состава выводимых полей</w:t>
      </w:r>
      <w:r>
        <w:t xml:space="preserve"> </w:t>
      </w:r>
      <w:r>
        <w:t xml:space="preserve">результата;</w:t>
      </w:r>
    </w:p>
    <w:p>
      <w:pPr>
        <w:pStyle w:val="Compact"/>
        <w:numPr>
          <w:ilvl w:val="0"/>
          <w:numId w:val="1006"/>
        </w:numPr>
      </w:pPr>
      <w:r>
        <w:rPr>
          <w:b/>
          <w:bCs/>
        </w:rPr>
        <w:t xml:space="preserve">сохранение фильтра</w:t>
      </w:r>
      <w:r>
        <w:t xml:space="preserve"> </w:t>
      </w:r>
      <w:r>
        <w:t xml:space="preserve">под именем для повторного использования;</w:t>
      </w:r>
    </w:p>
    <w:p>
      <w:pPr>
        <w:pStyle w:val="Compact"/>
        <w:numPr>
          <w:ilvl w:val="0"/>
          <w:numId w:val="1006"/>
        </w:numPr>
      </w:pPr>
      <w:r>
        <w:t xml:space="preserve">управление сохранёнными фильтрами: создание, переименование, копирование, очистка условий и удаление;</w:t>
      </w:r>
    </w:p>
    <w:p>
      <w:pPr>
        <w:pStyle w:val="Compact"/>
        <w:numPr>
          <w:ilvl w:val="0"/>
          <w:numId w:val="1006"/>
        </w:numPr>
      </w:pPr>
      <w:r>
        <w:rPr>
          <w:b/>
          <w:bCs/>
        </w:rPr>
        <w:t xml:space="preserve">исполнение фильтра</w:t>
      </w:r>
      <w:r>
        <w:t xml:space="preserve"> </w:t>
      </w:r>
      <w:r>
        <w:t xml:space="preserve">поисковой подсистемой (по полнотекстовому индексу) — сохранённое описание фильтра транслируется в поисковый запрос и применяется к проиндексированным данным.</w:t>
      </w:r>
    </w:p>
    <w:p>
      <w:pPr>
        <w:pStyle w:val="FirstParagraph"/>
      </w:pPr>
      <w:r>
        <w:t xml:space="preserve">Конструктор фильтров обеспечивает многократное применение однажды настроенных условий отбора и является основой для механизма рассылок уведомлений.</w:t>
      </w:r>
    </w:p>
    <w:bookmarkEnd w:id="15"/>
    <w:bookmarkStart w:id="16" w:name="рассылки-уведомлений-конфигурирование"/>
    <w:p>
      <w:pPr>
        <w:pStyle w:val="Heading3"/>
      </w:pPr>
      <w:r>
        <w:t xml:space="preserve">2.3. Рассылки уведомлений (конфигурирование)</w:t>
      </w:r>
    </w:p>
    <w:p>
      <w:pPr>
        <w:pStyle w:val="FirstParagraph"/>
      </w:pPr>
      <w:r>
        <w:t xml:space="preserve">ПО позволяет настраивать рассылки уведомлений о новых закупках, удовлетворяющих сохранённым расширенным фильтрам.</w:t>
      </w:r>
    </w:p>
    <w:p>
      <w:pPr>
        <w:pStyle w:val="BodyText"/>
      </w:pPr>
      <w:r>
        <w:t xml:space="preserve">В составе функциональности ПО реализовано</w:t>
      </w:r>
      <w:r>
        <w:t xml:space="preserve"> </w:t>
      </w:r>
      <w:r>
        <w:rPr>
          <w:b/>
          <w:bCs/>
        </w:rPr>
        <w:t xml:space="preserve">конфигурирование рассылок</w:t>
      </w:r>
      <w:r>
        <w:t xml:space="preserve">:</w:t>
      </w:r>
    </w:p>
    <w:p>
      <w:pPr>
        <w:pStyle w:val="Compact"/>
        <w:numPr>
          <w:ilvl w:val="0"/>
          <w:numId w:val="1007"/>
        </w:numPr>
      </w:pPr>
      <w:r>
        <w:t xml:space="preserve">привязка рассылки к одному или нескольким сохранённым фильтрам;</w:t>
      </w:r>
    </w:p>
    <w:p>
      <w:pPr>
        <w:pStyle w:val="Compact"/>
        <w:numPr>
          <w:ilvl w:val="0"/>
          <w:numId w:val="1007"/>
        </w:numPr>
      </w:pPr>
      <w:r>
        <w:t xml:space="preserve">настройка параметров рассылки (адресаты, периодичность, состав уведомления);</w:t>
      </w:r>
    </w:p>
    <w:p>
      <w:pPr>
        <w:pStyle w:val="Compact"/>
        <w:numPr>
          <w:ilvl w:val="0"/>
          <w:numId w:val="1007"/>
        </w:numPr>
      </w:pPr>
      <w:r>
        <w:t xml:space="preserve">управление списком рассылок.</w:t>
      </w:r>
    </w:p>
    <w:p>
      <w:pPr>
        <w:pStyle w:val="FirstParagraph"/>
      </w:pPr>
      <w:r>
        <w:t xml:space="preserve">Примечание: фактическая отправка уведомлений выполняется отдельным сервисным компонентом, входящим в состав программного комплекса правообладателя; в составе настоящего ПО реализована функция настройки (конфигурирования) таких рассылок.</w:t>
      </w:r>
    </w:p>
    <w:bookmarkEnd w:id="16"/>
    <w:bookmarkStart w:id="17" w:name="справочники"/>
    <w:p>
      <w:pPr>
        <w:pStyle w:val="Heading3"/>
      </w:pPr>
      <w:r>
        <w:t xml:space="preserve">2.4. Справочники</w:t>
      </w:r>
    </w:p>
    <w:p>
      <w:pPr>
        <w:pStyle w:val="FirstParagraph"/>
      </w:pPr>
      <w:r>
        <w:t xml:space="preserve">Для корректной фильтрации, классификации и интерпретации сведений о закупках ПО включает работу с нормативно-справочной информацией. Пользователю доступны для просмотра и использования в фильтрах следующие справочники:</w:t>
      </w:r>
    </w:p>
    <w:p>
      <w:pPr>
        <w:pStyle w:val="Compact"/>
        <w:numPr>
          <w:ilvl w:val="0"/>
          <w:numId w:val="1008"/>
        </w:numPr>
      </w:pPr>
      <w:r>
        <w:rPr>
          <w:b/>
          <w:bCs/>
        </w:rPr>
        <w:t xml:space="preserve">Классификаторы продукции:</w:t>
      </w:r>
      <w:r>
        <w:t xml:space="preserve"> </w:t>
      </w:r>
      <w:r>
        <w:t xml:space="preserve">ОКПД2 (Общероссийский классификатор продукции по видам экономической деятельности), ОКПД, ОКДП;</w:t>
      </w:r>
    </w:p>
    <w:p>
      <w:pPr>
        <w:pStyle w:val="Compact"/>
        <w:numPr>
          <w:ilvl w:val="0"/>
          <w:numId w:val="1008"/>
        </w:numPr>
      </w:pPr>
      <w:r>
        <w:rPr>
          <w:b/>
          <w:bCs/>
        </w:rPr>
        <w:t xml:space="preserve">Территориальные справочники:</w:t>
      </w:r>
      <w:r>
        <w:t xml:space="preserve"> </w:t>
      </w:r>
      <w:r>
        <w:t xml:space="preserve">регионы (субъекты Российской Федерации), федеральные округа;</w:t>
      </w:r>
    </w:p>
    <w:p>
      <w:pPr>
        <w:pStyle w:val="Compact"/>
        <w:numPr>
          <w:ilvl w:val="0"/>
          <w:numId w:val="1008"/>
        </w:numPr>
      </w:pPr>
      <w:r>
        <w:rPr>
          <w:b/>
          <w:bCs/>
        </w:rPr>
        <w:t xml:space="preserve">КТРУ</w:t>
      </w:r>
      <w:r>
        <w:t xml:space="preserve"> </w:t>
      </w:r>
      <w:r>
        <w:t xml:space="preserve">— каталог товаров, работ, услуг для обеспечения государственных и муниципальных нужд;</w:t>
      </w:r>
    </w:p>
    <w:p>
      <w:pPr>
        <w:pStyle w:val="Compact"/>
        <w:numPr>
          <w:ilvl w:val="0"/>
          <w:numId w:val="1008"/>
        </w:numPr>
      </w:pPr>
      <w:r>
        <w:rPr>
          <w:b/>
          <w:bCs/>
        </w:rPr>
        <w:t xml:space="preserve">Справочники контрагентов:</w:t>
      </w:r>
      <w:r>
        <w:t xml:space="preserve"> </w:t>
      </w:r>
      <w:r>
        <w:t xml:space="preserve">поставщики, заказчики, корпорации;</w:t>
      </w:r>
    </w:p>
    <w:p>
      <w:pPr>
        <w:pStyle w:val="Compact"/>
        <w:numPr>
          <w:ilvl w:val="0"/>
          <w:numId w:val="1008"/>
        </w:numPr>
      </w:pPr>
      <w:r>
        <w:rPr>
          <w:b/>
          <w:bCs/>
        </w:rPr>
        <w:t xml:space="preserve">Отраслевые справочники:</w:t>
      </w:r>
      <w:r>
        <w:t xml:space="preserve"> </w:t>
      </w:r>
      <w:r>
        <w:t xml:space="preserve">отрасли, разделы, этапы;</w:t>
      </w:r>
    </w:p>
    <w:p>
      <w:pPr>
        <w:pStyle w:val="Compact"/>
        <w:numPr>
          <w:ilvl w:val="0"/>
          <w:numId w:val="1008"/>
        </w:numPr>
      </w:pPr>
      <w:r>
        <w:rPr>
          <w:b/>
          <w:bCs/>
        </w:rPr>
        <w:t xml:space="preserve">Медицинские справочники:</w:t>
      </w:r>
    </w:p>
    <w:p>
      <w:pPr>
        <w:pStyle w:val="Compact"/>
        <w:numPr>
          <w:ilvl w:val="1"/>
          <w:numId w:val="1009"/>
        </w:numPr>
      </w:pPr>
      <w:r>
        <w:t xml:space="preserve">МНН (международные непатентованные наименования лекарственных препаратов);</w:t>
      </w:r>
    </w:p>
    <w:p>
      <w:pPr>
        <w:pStyle w:val="Compact"/>
        <w:numPr>
          <w:ilvl w:val="1"/>
          <w:numId w:val="1009"/>
        </w:numPr>
      </w:pPr>
      <w:r>
        <w:t xml:space="preserve">лекарственные формы (ЛФ) и дозировки;</w:t>
      </w:r>
    </w:p>
    <w:p>
      <w:pPr>
        <w:pStyle w:val="Compact"/>
        <w:numPr>
          <w:ilvl w:val="1"/>
          <w:numId w:val="1009"/>
        </w:numPr>
      </w:pPr>
      <w:r>
        <w:t xml:space="preserve">ЕСКЛП (единый структурированный справочник-каталог лекарственных препаратов);</w:t>
      </w:r>
    </w:p>
    <w:p>
      <w:pPr>
        <w:pStyle w:val="Compact"/>
        <w:numPr>
          <w:ilvl w:val="1"/>
          <w:numId w:val="1009"/>
        </w:numPr>
      </w:pPr>
      <w:r>
        <w:t xml:space="preserve">АТХ (анатомо-терапевтическо-химическая классификация);</w:t>
      </w:r>
    </w:p>
    <w:p>
      <w:pPr>
        <w:pStyle w:val="Compact"/>
        <w:numPr>
          <w:ilvl w:val="1"/>
          <w:numId w:val="1009"/>
        </w:numPr>
      </w:pPr>
      <w:r>
        <w:t xml:space="preserve">EphMRA;</w:t>
      </w:r>
    </w:p>
    <w:p>
      <w:pPr>
        <w:pStyle w:val="Compact"/>
        <w:numPr>
          <w:ilvl w:val="1"/>
          <w:numId w:val="1009"/>
        </w:numPr>
      </w:pPr>
      <w:r>
        <w:t xml:space="preserve">торговые наименования лекарственных препаратов;</w:t>
      </w:r>
    </w:p>
    <w:p>
      <w:pPr>
        <w:pStyle w:val="Compact"/>
        <w:numPr>
          <w:ilvl w:val="1"/>
          <w:numId w:val="1009"/>
        </w:numPr>
      </w:pPr>
      <w:r>
        <w:t xml:space="preserve">производители;</w:t>
      </w:r>
    </w:p>
    <w:p>
      <w:pPr>
        <w:pStyle w:val="Compact"/>
        <w:numPr>
          <w:ilvl w:val="1"/>
          <w:numId w:val="1009"/>
        </w:numPr>
      </w:pPr>
      <w:r>
        <w:t xml:space="preserve">классификация медицинских изделий, виды медицинских изделий;</w:t>
      </w:r>
    </w:p>
    <w:p>
      <w:pPr>
        <w:pStyle w:val="Compact"/>
        <w:numPr>
          <w:ilvl w:val="1"/>
          <w:numId w:val="1009"/>
        </w:numPr>
      </w:pPr>
      <w:r>
        <w:t xml:space="preserve">номенклатура;</w:t>
      </w:r>
    </w:p>
    <w:p>
      <w:pPr>
        <w:pStyle w:val="Compact"/>
        <w:numPr>
          <w:ilvl w:val="0"/>
          <w:numId w:val="1008"/>
        </w:numPr>
      </w:pPr>
      <w:r>
        <w:rPr>
          <w:b/>
          <w:bCs/>
        </w:rPr>
        <w:t xml:space="preserve">Справочники полей реестров и меток извещений</w:t>
      </w:r>
      <w:r>
        <w:t xml:space="preserve"> </w:t>
      </w:r>
      <w:r>
        <w:t xml:space="preserve">— для настройки состава выводимых данных и пометки записей.</w:t>
      </w:r>
    </w:p>
    <w:p>
      <w:pPr>
        <w:pStyle w:val="FirstParagraph"/>
      </w:pPr>
      <w:r>
        <w:t xml:space="preserve">Справочники используются как источники значений при построении расширенных фильтров и при фасетной навигации.</w:t>
      </w:r>
    </w:p>
    <w:bookmarkEnd w:id="17"/>
    <w:bookmarkStart w:id="18" w:name="X255955b7541fdd56060eb14f98ccd3f1c37bc3f"/>
    <w:p>
      <w:pPr>
        <w:pStyle w:val="Heading3"/>
      </w:pPr>
      <w:r>
        <w:t xml:space="preserve">2.5. Аутентификация, личный кабинет и ролевая модель доступа</w:t>
      </w:r>
    </w:p>
    <w:p>
      <w:pPr>
        <w:pStyle w:val="FirstParagraph"/>
      </w:pPr>
      <w:r>
        <w:t xml:space="preserve">ПО является многопользовательским и обеспечивает разграничение доступа.</w:t>
      </w:r>
    </w:p>
    <w:p>
      <w:pPr>
        <w:pStyle w:val="Compact"/>
        <w:numPr>
          <w:ilvl w:val="0"/>
          <w:numId w:val="1010"/>
        </w:numPr>
      </w:pPr>
      <w:r>
        <w:rPr>
          <w:b/>
          <w:bCs/>
        </w:rPr>
        <w:t xml:space="preserve">Аутентификация</w:t>
      </w:r>
      <w:r>
        <w:t xml:space="preserve"> </w:t>
      </w:r>
      <w:r>
        <w:t xml:space="preserve">пользователей выполняется по учётным данным (логин и пароль). После успешной аутентификации пользователю выдаётся маркер доступа (JSON Web Token, JWT) с ограниченным сроком действия и маркер обновления (refresh token); маркеры обновления хранятся на стороне сервера в защищённом виде (в виде хэш-значения).</w:t>
      </w:r>
    </w:p>
    <w:p>
      <w:pPr>
        <w:pStyle w:val="Compact"/>
        <w:numPr>
          <w:ilvl w:val="0"/>
          <w:numId w:val="1010"/>
        </w:numPr>
      </w:pPr>
      <w:r>
        <w:rPr>
          <w:b/>
          <w:bCs/>
        </w:rPr>
        <w:t xml:space="preserve">Личный кабинет</w:t>
      </w:r>
      <w:r>
        <w:t xml:space="preserve"> </w:t>
      </w:r>
      <w:r>
        <w:t xml:space="preserve">пользователя предоставляет доступ к профилю, персональным настройкам, сохранённым фильтрам и настройкам рассылок.</w:t>
      </w:r>
    </w:p>
    <w:p>
      <w:pPr>
        <w:pStyle w:val="Compact"/>
        <w:numPr>
          <w:ilvl w:val="0"/>
          <w:numId w:val="1010"/>
        </w:numPr>
      </w:pPr>
      <w:r>
        <w:rPr>
          <w:b/>
          <w:bCs/>
        </w:rPr>
        <w:t xml:space="preserve">Ролевая модель доступа (модель прав, entitlements)</w:t>
      </w:r>
      <w:r>
        <w:t xml:space="preserve"> </w:t>
      </w:r>
      <w:r>
        <w:t xml:space="preserve">определяет набор доступных пользователю функциональных модулей и действий в зависимости от подписки (тарифа). Состав доступной навигации и перечень доступных операций формируются динамически: каждый защищённый программный интерфейс проверяет наличие у пользователя соответствующего права (просмотр, создание, изменение, удаление), а элементы пользовательского интерфейса отображаются с учётом прав пользователя.</w:t>
      </w:r>
    </w:p>
    <w:p>
      <w:pPr>
        <w:pStyle w:val="Compact"/>
        <w:numPr>
          <w:ilvl w:val="0"/>
          <w:numId w:val="1010"/>
        </w:numPr>
      </w:pPr>
      <w:r>
        <w:t xml:space="preserve">Для каждой операции, изменяющей данные, ведётся журнал действий (аудит) на стороне сервера.</w:t>
      </w:r>
    </w:p>
    <w:bookmarkEnd w:id="18"/>
    <w:bookmarkStart w:id="19" w:name="экспорт-результатов"/>
    <w:p>
      <w:pPr>
        <w:pStyle w:val="Heading3"/>
      </w:pPr>
      <w:r>
        <w:t xml:space="preserve">2.6. Экспорт результатов</w:t>
      </w:r>
    </w:p>
    <w:p>
      <w:pPr>
        <w:pStyle w:val="FirstParagraph"/>
      </w:pPr>
      <w:r>
        <w:t xml:space="preserve">ПО обеспечивает</w:t>
      </w:r>
      <w:r>
        <w:t xml:space="preserve"> </w:t>
      </w:r>
      <w:r>
        <w:rPr>
          <w:b/>
          <w:bCs/>
        </w:rPr>
        <w:t xml:space="preserve">экспорт результатов поиска и выборок в формат электронных таблиц (XLSX/OpenXML)</w:t>
      </w:r>
      <w:r>
        <w:t xml:space="preserve">. Экспортируется набор записей с выбранным составом полей, что позволяет использовать результаты поиска во внешних аналитических инструментах и формировать отчётность.</w:t>
      </w:r>
    </w:p>
    <w:p>
      <w:r>
        <w:pict>
          <v:rect style="width:0;height:1.5pt" o:hralign="center" o:hrstd="t" o:hr="t"/>
        </w:pict>
      </w:r>
    </w:p>
    <w:bookmarkEnd w:id="19"/>
    <w:bookmarkEnd w:id="20"/>
    <w:bookmarkStart w:id="21" w:name="X072d96c151c914e38ebf4ef7e897826b38a1b34"/>
    <w:p>
      <w:pPr>
        <w:pStyle w:val="Heading2"/>
      </w:pPr>
      <w:r>
        <w:t xml:space="preserve">3. Общие характеристики программного обеспечения</w:t>
      </w:r>
    </w:p>
    <w:p>
      <w:pPr>
        <w:pStyle w:val="Compact"/>
        <w:numPr>
          <w:ilvl w:val="0"/>
          <w:numId w:val="1011"/>
        </w:numPr>
      </w:pPr>
      <w:r>
        <w:rPr>
          <w:b/>
          <w:bCs/>
        </w:rPr>
        <w:t xml:space="preserve">Веб-интерфейс.</w:t>
      </w:r>
      <w:r>
        <w:t xml:space="preserve"> </w:t>
      </w:r>
      <w:r>
        <w:t xml:space="preserve">ПО предоставляется в виде веб-приложения и не требует установки специализированного клиентского программного обеспечения на рабочих местах пользователей — для работы достаточно современного веб-браузера.</w:t>
      </w:r>
    </w:p>
    <w:p>
      <w:pPr>
        <w:pStyle w:val="Compact"/>
        <w:numPr>
          <w:ilvl w:val="0"/>
          <w:numId w:val="1011"/>
        </w:numPr>
      </w:pPr>
      <w:r>
        <w:rPr>
          <w:b/>
          <w:bCs/>
        </w:rPr>
        <w:t xml:space="preserve">Многопользовательский режим.</w:t>
      </w:r>
      <w:r>
        <w:t xml:space="preserve"> </w:t>
      </w:r>
      <w:r>
        <w:t xml:space="preserve">ПО поддерживает одновременную работу множества пользователей.</w:t>
      </w:r>
    </w:p>
    <w:p>
      <w:pPr>
        <w:pStyle w:val="Compact"/>
        <w:numPr>
          <w:ilvl w:val="0"/>
          <w:numId w:val="1011"/>
        </w:numPr>
      </w:pPr>
      <w:r>
        <w:rPr>
          <w:b/>
          <w:bCs/>
        </w:rPr>
        <w:t xml:space="preserve">Разграничение доступа.</w:t>
      </w:r>
      <w:r>
        <w:t xml:space="preserve"> </w:t>
      </w:r>
      <w:r>
        <w:t xml:space="preserve">Доступ к функциональным возможностям и данным разграничивается на основании аутентификации и ролевой модели (модели прав), привязанной к подписке пользователя.</w:t>
      </w:r>
    </w:p>
    <w:p>
      <w:pPr>
        <w:pStyle w:val="Compact"/>
        <w:numPr>
          <w:ilvl w:val="0"/>
          <w:numId w:val="1011"/>
        </w:numPr>
      </w:pPr>
      <w:r>
        <w:rPr>
          <w:b/>
          <w:bCs/>
        </w:rPr>
        <w:t xml:space="preserve">Русскоязычный интерфейс.</w:t>
      </w:r>
      <w:r>
        <w:t xml:space="preserve"> </w:t>
      </w:r>
      <w:r>
        <w:t xml:space="preserve">Пользовательский интерфейс выполнен на русском языке.</w:t>
      </w:r>
    </w:p>
    <w:p>
      <w:pPr>
        <w:pStyle w:val="Compact"/>
        <w:numPr>
          <w:ilvl w:val="0"/>
          <w:numId w:val="1011"/>
        </w:numPr>
      </w:pPr>
      <w:r>
        <w:rPr>
          <w:b/>
          <w:bCs/>
        </w:rPr>
        <w:t xml:space="preserve">Адаптивность.</w:t>
      </w:r>
      <w:r>
        <w:t xml:space="preserve"> </w:t>
      </w:r>
      <w:r>
        <w:t xml:space="preserve">Пользовательский интерфейс адаптируется к различным размерам экранов (настольные компьютеры, ноутбуки).</w:t>
      </w:r>
    </w:p>
    <w:p>
      <w:r>
        <w:pict>
          <v:rect style="width:0;height:1.5pt" o:hralign="center" o:hrstd="t" o:hr="t"/>
        </w:pict>
      </w:r>
    </w:p>
    <w:bookmarkEnd w:id="21"/>
    <w:bookmarkStart w:id="30" w:name="технические-характеристики"/>
    <w:p>
      <w:pPr>
        <w:pStyle w:val="Heading2"/>
      </w:pPr>
      <w:r>
        <w:t xml:space="preserve">4. Технические характеристики</w:t>
      </w:r>
    </w:p>
    <w:bookmarkStart w:id="22" w:name="архитектура"/>
    <w:p>
      <w:pPr>
        <w:pStyle w:val="Heading3"/>
      </w:pPr>
      <w:r>
        <w:t xml:space="preserve">4.1. Архитектура</w:t>
      </w:r>
    </w:p>
    <w:p>
      <w:pPr>
        <w:pStyle w:val="FirstParagraph"/>
      </w:pPr>
      <w:r>
        <w:t xml:space="preserve">ПО построено по клиент-серверной архитектуре и состоит из серверной части (backend), клиентской части (frontend), поискового слоя и обратного прокси-сервера.</w:t>
      </w:r>
    </w:p>
    <w:bookmarkEnd w:id="22"/>
    <w:bookmarkStart w:id="23" w:name="серверная-часть"/>
    <w:p>
      <w:pPr>
        <w:pStyle w:val="Heading3"/>
      </w:pPr>
      <w:r>
        <w:t xml:space="preserve">4.2. Серверная часть</w:t>
      </w:r>
    </w:p>
    <w:p>
      <w:pPr>
        <w:pStyle w:val="Compact"/>
        <w:numPr>
          <w:ilvl w:val="0"/>
          <w:numId w:val="1012"/>
        </w:numPr>
      </w:pPr>
      <w:r>
        <w:rPr>
          <w:b/>
          <w:bCs/>
        </w:rPr>
        <w:t xml:space="preserve">Платформа и язык:</w:t>
      </w:r>
      <w:r>
        <w:t xml:space="preserve"> </w:t>
      </w:r>
      <w:r>
        <w:t xml:space="preserve">.NET (ASP.NET Core), язык программирования C#.</w:t>
      </w:r>
    </w:p>
    <w:p>
      <w:pPr>
        <w:pStyle w:val="Compact"/>
        <w:numPr>
          <w:ilvl w:val="0"/>
          <w:numId w:val="1012"/>
        </w:numPr>
      </w:pPr>
      <w:r>
        <w:rPr>
          <w:b/>
          <w:bCs/>
        </w:rPr>
        <w:t xml:space="preserve">Прикладной каркас:</w:t>
      </w:r>
      <w:r>
        <w:t xml:space="preserve"> </w:t>
      </w:r>
      <w:r>
        <w:t xml:space="preserve">FastEndpoints (вертикальные срезы функциональности).</w:t>
      </w:r>
    </w:p>
    <w:p>
      <w:pPr>
        <w:pStyle w:val="Compact"/>
        <w:numPr>
          <w:ilvl w:val="0"/>
          <w:numId w:val="1012"/>
        </w:numPr>
      </w:pPr>
      <w:r>
        <w:rPr>
          <w:b/>
          <w:bCs/>
        </w:rPr>
        <w:t xml:space="preserve">Доступ к данным:</w:t>
      </w:r>
      <w:r>
        <w:t xml:space="preserve"> </w:t>
      </w:r>
      <w:r>
        <w:t xml:space="preserve">прямые SQL-запросы с использованием библиотеки Dapper. Хранение обрабатываемых данных обеспечивается внешней реляционной системой управления базами данных, относящейся к среде функционирования ПО и не входящей в состав поставляемого ПО.</w:t>
      </w:r>
    </w:p>
    <w:p>
      <w:pPr>
        <w:pStyle w:val="Compact"/>
        <w:numPr>
          <w:ilvl w:val="0"/>
          <w:numId w:val="1012"/>
        </w:numPr>
      </w:pPr>
      <w:r>
        <w:rPr>
          <w:b/>
          <w:bCs/>
        </w:rPr>
        <w:t xml:space="preserve">Поисковый слой:</w:t>
      </w:r>
      <w:r>
        <w:t xml:space="preserve"> </w:t>
      </w:r>
      <w:r>
        <w:t xml:space="preserve">полнотекстовый и фасетный поиск выполняется с использованием внешней поисковой подсистемы (полнотекстового индекса), относящейся к среде функционирования ПО и не входящей в состав поставляемого ПО; ПО подключается к ней по сетевому протоколу.</w:t>
      </w:r>
    </w:p>
    <w:p>
      <w:pPr>
        <w:pStyle w:val="Compact"/>
        <w:numPr>
          <w:ilvl w:val="0"/>
          <w:numId w:val="1012"/>
        </w:numPr>
      </w:pPr>
      <w:r>
        <w:rPr>
          <w:b/>
          <w:bCs/>
        </w:rPr>
        <w:t xml:space="preserve">Аутентификация:</w:t>
      </w:r>
      <w:r>
        <w:t xml:space="preserve"> </w:t>
      </w:r>
      <w:r>
        <w:t xml:space="preserve">механизм JWT (JSON Web Token) с маркерами доступа и обновления.</w:t>
      </w:r>
    </w:p>
    <w:bookmarkEnd w:id="23"/>
    <w:bookmarkStart w:id="24" w:name="клиентская-часть"/>
    <w:p>
      <w:pPr>
        <w:pStyle w:val="Heading3"/>
      </w:pPr>
      <w:r>
        <w:t xml:space="preserve">4.3. Клиентская часть</w:t>
      </w:r>
    </w:p>
    <w:p>
      <w:pPr>
        <w:pStyle w:val="Compact"/>
        <w:numPr>
          <w:ilvl w:val="0"/>
          <w:numId w:val="1013"/>
        </w:numPr>
      </w:pPr>
      <w:r>
        <w:rPr>
          <w:b/>
          <w:bCs/>
        </w:rPr>
        <w:t xml:space="preserve">Технологии:</w:t>
      </w:r>
      <w:r>
        <w:t xml:space="preserve"> </w:t>
      </w:r>
      <w:r>
        <w:t xml:space="preserve">Next.js (среда исполнения Node.js), React, язык программирования TypeScript.</w:t>
      </w:r>
    </w:p>
    <w:p>
      <w:pPr>
        <w:pStyle w:val="Compact"/>
        <w:numPr>
          <w:ilvl w:val="0"/>
          <w:numId w:val="1013"/>
        </w:numPr>
      </w:pPr>
      <w:r>
        <w:rPr>
          <w:b/>
          <w:bCs/>
        </w:rPr>
        <w:t xml:space="preserve">Способ доступа:</w:t>
      </w:r>
      <w:r>
        <w:t xml:space="preserve"> </w:t>
      </w:r>
      <w:r>
        <w:t xml:space="preserve">веб-браузер. Поддерживаются актуальные версии распространённых браузеров (последние две версии): «Яндекс.Браузер», Google Chrome, Mozilla Firefox, Microsoft Edge, а также иные браузеры на современных движках.</w:t>
      </w:r>
    </w:p>
    <w:bookmarkEnd w:id="24"/>
    <w:bookmarkStart w:id="25" w:name="системное-окружение-и-развёртывание"/>
    <w:p>
      <w:pPr>
        <w:pStyle w:val="Heading3"/>
      </w:pPr>
      <w:r>
        <w:t xml:space="preserve">4.4. Системное окружение и развёртывание</w:t>
      </w:r>
    </w:p>
    <w:p>
      <w:pPr>
        <w:pStyle w:val="Compact"/>
        <w:numPr>
          <w:ilvl w:val="0"/>
          <w:numId w:val="1014"/>
        </w:numPr>
      </w:pPr>
      <w:r>
        <w:rPr>
          <w:b/>
          <w:bCs/>
        </w:rPr>
        <w:t xml:space="preserve">Операционная система серверной части:</w:t>
      </w:r>
      <w:r>
        <w:t xml:space="preserve"> </w:t>
      </w:r>
      <w:r>
        <w:t xml:space="preserve">операционная система семейства Linux, включая отечественную ОС Astra Linux (например, Ubuntu Server). ПО функционирует на ОС семейства Linux.</w:t>
      </w:r>
    </w:p>
    <w:p>
      <w:pPr>
        <w:pStyle w:val="Compact"/>
        <w:numPr>
          <w:ilvl w:val="0"/>
          <w:numId w:val="1014"/>
        </w:numPr>
      </w:pPr>
      <w:r>
        <w:rPr>
          <w:b/>
          <w:bCs/>
        </w:rPr>
        <w:t xml:space="preserve">Управление процессами:</w:t>
      </w:r>
      <w:r>
        <w:t xml:space="preserve"> </w:t>
      </w:r>
      <w:r>
        <w:t xml:space="preserve">запуск компонентов в виде системных служб средствами systemd.</w:t>
      </w:r>
    </w:p>
    <w:p>
      <w:pPr>
        <w:pStyle w:val="Compact"/>
        <w:numPr>
          <w:ilvl w:val="0"/>
          <w:numId w:val="1014"/>
        </w:numPr>
      </w:pPr>
      <w:r>
        <w:rPr>
          <w:b/>
          <w:bCs/>
        </w:rPr>
        <w:t xml:space="preserve">Обратный прокси-сервер:</w:t>
      </w:r>
      <w:r>
        <w:t xml:space="preserve"> </w:t>
      </w:r>
      <w:r>
        <w:t xml:space="preserve">nginx (терминация HTTPS, маршрутизация запросов к серверной и клиентской частям). Журналы обращений и ошибок ведутся в каталоге</w:t>
      </w:r>
      <w:r>
        <w:t xml:space="preserve"> </w:t>
      </w:r>
      <w:r>
        <w:rPr>
          <w:rStyle w:val="VerbatimChar"/>
        </w:rPr>
        <w:t xml:space="preserve">/var/log/nginx/</w:t>
      </w:r>
      <w:r>
        <w:t xml:space="preserve">.</w:t>
      </w:r>
    </w:p>
    <w:p>
      <w:pPr>
        <w:pStyle w:val="Compact"/>
        <w:numPr>
          <w:ilvl w:val="0"/>
          <w:numId w:val="1014"/>
        </w:numPr>
      </w:pPr>
      <w:r>
        <w:rPr>
          <w:b/>
          <w:bCs/>
        </w:rPr>
        <w:t xml:space="preserve">Внешняя среда функционирования:</w:t>
      </w:r>
      <w:r>
        <w:t xml:space="preserve"> </w:t>
      </w:r>
      <w:r>
        <w:t xml:space="preserve">ПО взаимодействует с внешней реляционной системой управления базами данных и внешней поисковой подсистемой (полнотекстовым индексом). Указанные системы развёртываются и сопровождаются отдельно, относятся к среде функционирования и не входят в состав поставляемого ПО.</w:t>
      </w:r>
    </w:p>
    <w:p>
      <w:pPr>
        <w:pStyle w:val="FirstParagraph"/>
      </w:pPr>
      <w:r>
        <w:t xml:space="preserve">Программное обеспечение построено на провайдерной архитектуре доступа к данным и поиску, при которой конкретный поставщик (провайдер) определяется параметрами конфигурации развёртывания. Слой данных абстрагирован и допускает выбор реляционной системы управления базами данных на выбор: PostgreSQL, Postgres Pro или Microsoft SQL Server. Поисковая подсистема также конфигурируема — на выбор: ClickHouse или Elasticsearch. Реализованы коннекторы подключения к указанным системам; конкретный провайдер СУБД и поисковой подсистемы выбирается параметрами конфигурации при развёртывании серверной части.</w:t>
      </w:r>
    </w:p>
    <w:p>
      <w:pPr>
        <w:pStyle w:val="BodyText"/>
      </w:pPr>
      <w:r>
        <w:t xml:space="preserve">Параметры подключения к внешним системам (строки подключения к СУБД и поисковой подсистеме, параметры внешнего SMTP-сервера для отправки уведомлений и иные секреты развёртывания) задаются переменными окружения службы и не входят в состав исходного кода. При развёртывании в среде systemd переменные окружения задаются файлом окружения службы (</w:t>
      </w:r>
      <w:r>
        <w:rPr>
          <w:rStyle w:val="VerbatimChar"/>
        </w:rPr>
        <w:t xml:space="preserve">EnvironmentFile</w:t>
      </w:r>
      <w:r>
        <w:t xml:space="preserve">), например</w:t>
      </w:r>
      <w:r>
        <w:t xml:space="preserve"> </w:t>
      </w:r>
      <w:r>
        <w:rPr>
          <w:rStyle w:val="VerbatimChar"/>
        </w:rPr>
        <w:t xml:space="preserve">/srv/apps/krasoftsearch-api/krasoftsearch-api.env</w:t>
      </w:r>
      <w:r>
        <w:t xml:space="preserve">.</w:t>
      </w:r>
    </w:p>
    <w:bookmarkEnd w:id="25"/>
    <w:bookmarkStart w:id="26" w:name="протоколы-и-интерфейсы-взаимодействия"/>
    <w:p>
      <w:pPr>
        <w:pStyle w:val="Heading3"/>
      </w:pPr>
      <w:r>
        <w:t xml:space="preserve">4.5. Протоколы и интерфейсы взаимодействия</w:t>
      </w:r>
    </w:p>
    <w:p>
      <w:pPr>
        <w:pStyle w:val="Compact"/>
        <w:numPr>
          <w:ilvl w:val="0"/>
          <w:numId w:val="1015"/>
        </w:numPr>
      </w:pPr>
      <w:r>
        <w:t xml:space="preserve">Взаимодействие клиентской и серверной частей осуществляется по протоколу</w:t>
      </w:r>
      <w:r>
        <w:t xml:space="preserve"> </w:t>
      </w:r>
      <w:r>
        <w:rPr>
          <w:b/>
          <w:bCs/>
        </w:rPr>
        <w:t xml:space="preserve">HTTPS</w:t>
      </w:r>
      <w:r>
        <w:t xml:space="preserve"> </w:t>
      </w:r>
      <w:r>
        <w:t xml:space="preserve">(HTTP поверх TLS) с использованием программного интерфейса в формате</w:t>
      </w:r>
      <w:r>
        <w:t xml:space="preserve"> </w:t>
      </w:r>
      <w:r>
        <w:rPr>
          <w:b/>
          <w:bCs/>
        </w:rPr>
        <w:t xml:space="preserve">REST/JSON</w:t>
      </w:r>
      <w:r>
        <w:t xml:space="preserve">.</w:t>
      </w:r>
    </w:p>
    <w:p>
      <w:pPr>
        <w:pStyle w:val="Compact"/>
        <w:numPr>
          <w:ilvl w:val="0"/>
          <w:numId w:val="1015"/>
        </w:numPr>
      </w:pPr>
      <w:r>
        <w:t xml:space="preserve">Передача данных защищается средствами транспортного шифрования (TLS).</w:t>
      </w:r>
    </w:p>
    <w:p>
      <w:pPr>
        <w:pStyle w:val="Compact"/>
        <w:numPr>
          <w:ilvl w:val="0"/>
          <w:numId w:val="1015"/>
        </w:numPr>
      </w:pPr>
      <w:r>
        <w:t xml:space="preserve">Аутентификация запросов выполняется посредством маркеров доступа JWT, передаваемых в заголовках HTTP-запросов.</w:t>
      </w:r>
    </w:p>
    <w:bookmarkEnd w:id="26"/>
    <w:bookmarkStart w:id="27" w:name="требования-совместимости"/>
    <w:p>
      <w:pPr>
        <w:pStyle w:val="Heading3"/>
      </w:pPr>
      <w:r>
        <w:t xml:space="preserve">4.6. Требования совместимости</w:t>
      </w:r>
    </w:p>
    <w:p>
      <w:pPr>
        <w:pStyle w:val="Compact"/>
        <w:numPr>
          <w:ilvl w:val="0"/>
          <w:numId w:val="1016"/>
        </w:numPr>
      </w:pPr>
      <w:r>
        <w:rPr>
          <w:b/>
          <w:bCs/>
        </w:rPr>
        <w:t xml:space="preserve">Серверная часть:</w:t>
      </w:r>
      <w:r>
        <w:t xml:space="preserve"> </w:t>
      </w:r>
      <w:r>
        <w:t xml:space="preserve">функционирует под управлением операционной системы семейства Linux, включая отечественную операционную систему Astra Linux. Слой данных и поисковая подсистема конфигурируемы (см. п. 4.4); конкретный провайдер СУБД и поисковой подсистемы выбирается параметрами конфигурации при развёртывании. Работоспособность не зависит от иностранных лиц и иностранной инфраструктуры; принудительное обновление и управление из-за рубежа отсутствуют.</w:t>
      </w:r>
    </w:p>
    <w:p>
      <w:pPr>
        <w:pStyle w:val="Compact"/>
        <w:numPr>
          <w:ilvl w:val="0"/>
          <w:numId w:val="1016"/>
        </w:numPr>
      </w:pPr>
      <w:r>
        <w:rPr>
          <w:b/>
          <w:bCs/>
        </w:rPr>
        <w:t xml:space="preserve">Клиентская часть:</w:t>
      </w:r>
      <w:r>
        <w:t xml:space="preserve"> </w:t>
      </w:r>
      <w:r>
        <w:t xml:space="preserve">работает в современном веб-браузере на распространённых операционных системах (в том числе российских — ОС «Альт», Astra Linux, РЕД ОС и др., а также на операционных системах семейств Windows и Linux) без установки дополнительного программного обеспечения.</w:t>
      </w:r>
    </w:p>
    <w:p>
      <w:pPr>
        <w:pStyle w:val="Compact"/>
        <w:numPr>
          <w:ilvl w:val="0"/>
          <w:numId w:val="1016"/>
        </w:numPr>
      </w:pPr>
      <w:r>
        <w:t xml:space="preserve">ПО построено с использованием свободно распространяемых программных компонентов с разрешительными (пермиссивными) лицензиями (MIT, Apache-2.0, BSD, ISC). Проприетарные иностранные компоненты, требующие приобретения платных лицензий у иностранного правообладателя, в составе ПО отсутствуют. Полный перечень используемых сторонних компонентов приведён в отдельном документе о составе компонентов.</w:t>
      </w:r>
    </w:p>
    <w:bookmarkEnd w:id="27"/>
    <w:bookmarkStart w:id="28" w:name="Xef70e190eb843b6d09446947ed1c3c86ebb3a86"/>
    <w:p>
      <w:pPr>
        <w:pStyle w:val="Heading3"/>
      </w:pPr>
      <w:r>
        <w:t xml:space="preserve">4.7. Минимальные требования к рабочему месту пользователя</w:t>
      </w:r>
    </w:p>
    <w:p>
      <w:pPr>
        <w:pStyle w:val="Compact"/>
        <w:numPr>
          <w:ilvl w:val="0"/>
          <w:numId w:val="1017"/>
        </w:numPr>
      </w:pPr>
      <w:r>
        <w:t xml:space="preserve">Персональный компьютер (ноутбук) с современным веб-браузером;</w:t>
      </w:r>
    </w:p>
    <w:p>
      <w:pPr>
        <w:pStyle w:val="Compact"/>
        <w:numPr>
          <w:ilvl w:val="0"/>
          <w:numId w:val="1017"/>
        </w:numPr>
      </w:pPr>
      <w:r>
        <w:t xml:space="preserve">Устойчивое подключение к информационно-телекоммуникационной сети «Интернет» с пропускной способностью канала связи не ниже 10 Мбит/с;</w:t>
      </w:r>
    </w:p>
    <w:p>
      <w:pPr>
        <w:pStyle w:val="Compact"/>
        <w:numPr>
          <w:ilvl w:val="0"/>
          <w:numId w:val="1017"/>
        </w:numPr>
      </w:pPr>
      <w:r>
        <w:t xml:space="preserve">Разрешение экрана не менее 1280 × 720 точек (рекомендуется 1920 × 1080).</w:t>
      </w:r>
    </w:p>
    <w:bookmarkEnd w:id="28"/>
    <w:bookmarkStart w:id="29" w:name="минимальные-требования-к-серверу"/>
    <w:p>
      <w:pPr>
        <w:pStyle w:val="Heading3"/>
      </w:pPr>
      <w:r>
        <w:t xml:space="preserve">4.8. Минимальные требования к серверу</w:t>
      </w:r>
    </w:p>
    <w:p>
      <w:pPr>
        <w:pStyle w:val="FirstParagraph"/>
      </w:pPr>
      <w:r>
        <w:t xml:space="preserve">Для развёртывания серверной части ПО (без учёта ресурсов внешних СУБД и поисковой подсистемы, которые размещаются и масштабируются отдельно) рекомендуется выделять сервер (виртуальный сервер) не ниже следующей конфигурации:</w:t>
      </w:r>
    </w:p>
    <w:p>
      <w:pPr>
        <w:pStyle w:val="Compact"/>
        <w:numPr>
          <w:ilvl w:val="0"/>
          <w:numId w:val="1018"/>
        </w:numPr>
      </w:pPr>
      <w:r>
        <w:t xml:space="preserve">не менее 4 виртуальных ядер центрального процессора;</w:t>
      </w:r>
    </w:p>
    <w:p>
      <w:pPr>
        <w:pStyle w:val="Compact"/>
        <w:numPr>
          <w:ilvl w:val="0"/>
          <w:numId w:val="1018"/>
        </w:numPr>
      </w:pPr>
      <w:r>
        <w:t xml:space="preserve">не менее 8 ГБ оперативной памяти;</w:t>
      </w:r>
    </w:p>
    <w:p>
      <w:pPr>
        <w:pStyle w:val="Compact"/>
        <w:numPr>
          <w:ilvl w:val="0"/>
          <w:numId w:val="1018"/>
        </w:numPr>
      </w:pPr>
      <w:r>
        <w:t xml:space="preserve">не менее 50 ГБ дискового пространства на накопителе SSD;</w:t>
      </w:r>
    </w:p>
    <w:p>
      <w:pPr>
        <w:pStyle w:val="Compact"/>
        <w:numPr>
          <w:ilvl w:val="0"/>
          <w:numId w:val="1018"/>
        </w:numPr>
      </w:pPr>
      <w:r>
        <w:t xml:space="preserve">канал связи не ниже 10 Мбит/с;</w:t>
      </w:r>
    </w:p>
    <w:p>
      <w:pPr>
        <w:pStyle w:val="Compact"/>
        <w:numPr>
          <w:ilvl w:val="0"/>
          <w:numId w:val="1018"/>
        </w:numPr>
      </w:pPr>
      <w:r>
        <w:t xml:space="preserve">операционная система семейства Linux (см. п. 4.4).</w:t>
      </w:r>
    </w:p>
    <w:p>
      <w:r>
        <w:pict>
          <v:rect style="width:0;height:1.5pt" o:hralign="center" o:hrstd="t" o:hr="t"/>
        </w:pict>
      </w:r>
    </w:p>
    <w:bookmarkEnd w:id="29"/>
    <w:bookmarkEnd w:id="30"/>
    <w:bookmarkStart w:id="31" w:name="сведения-о-размещении-и-распространении"/>
    <w:p>
      <w:pPr>
        <w:pStyle w:val="Heading2"/>
      </w:pPr>
      <w:r>
        <w:t xml:space="preserve">5. Сведения о размещении и распространении</w:t>
      </w:r>
    </w:p>
    <w:p>
      <w:pPr>
        <w:pStyle w:val="Compact"/>
        <w:numPr>
          <w:ilvl w:val="0"/>
          <w:numId w:val="1019"/>
        </w:numPr>
      </w:pPr>
      <w:r>
        <w:rPr>
          <w:b/>
          <w:bCs/>
        </w:rPr>
        <w:t xml:space="preserve">Основной сервис:</w:t>
      </w:r>
      <w:r>
        <w:t xml:space="preserve"> </w:t>
      </w:r>
      <w:r>
        <w:rPr>
          <w:rStyle w:val="VerbatimChar"/>
        </w:rPr>
        <w:t xml:space="preserve">https://красофт.рф</w:t>
      </w:r>
      <w:r>
        <w:t xml:space="preserve">. Демонстрационный доступ для проверки предоставляется по запросу (обращение на info@krasoft.ru).</w:t>
      </w:r>
    </w:p>
    <w:p>
      <w:pPr>
        <w:pStyle w:val="Compact"/>
        <w:numPr>
          <w:ilvl w:val="0"/>
          <w:numId w:val="1019"/>
        </w:numPr>
      </w:pPr>
      <w:r>
        <w:rPr>
          <w:b/>
          <w:bCs/>
        </w:rPr>
        <w:t xml:space="preserve">Модель распространения:</w:t>
      </w:r>
      <w:r>
        <w:t xml:space="preserve"> </w:t>
      </w:r>
      <w:r>
        <w:t xml:space="preserve">предоставление права использования на территории Российской Федерации по лицензии в форме предоставления удалённого доступа к функциональным возможностям ПО (SaaS, подписка). Условия и стоимость предоставления права использования приведены в соответствующем документе.</w:t>
      </w:r>
    </w:p>
    <w:p>
      <w:pPr>
        <w:pStyle w:val="Compact"/>
        <w:numPr>
          <w:ilvl w:val="0"/>
          <w:numId w:val="1019"/>
        </w:numPr>
      </w:pPr>
      <w:r>
        <w:t xml:space="preserve">Работоспособность ПО не зависит от иностранных лиц и иностранной инфраструктуры; принудительное обновление и управление программным обеспечением из иностранных государств не осуществляются.</w:t>
      </w:r>
    </w:p>
    <w:p>
      <w:r>
        <w:pict>
          <v:rect style="width:0;height:1.5pt" o:hralign="center" o:hrstd="t" o:hr="t"/>
        </w:pict>
      </w:r>
    </w:p>
    <w:bookmarkEnd w:id="31"/>
    <w:bookmarkStart w:id="32" w:name="заключение"/>
    <w:p>
      <w:pPr>
        <w:pStyle w:val="Heading2"/>
      </w:pPr>
      <w:r>
        <w:t xml:space="preserve">6. Заключение</w:t>
      </w:r>
    </w:p>
    <w:p>
      <w:pPr>
        <w:pStyle w:val="FirstParagraph"/>
      </w:pPr>
      <w:r>
        <w:t xml:space="preserve">Программное обеспечение «КРАСОФТ Поиск» является самостоятельным результатом интеллектуальной деятельности ООО «Красофт», разработано и эксплуатируется на территории Российской Федерации, обеспечивает выполнение заявленных функциональных характеристик и соответствует требованиям, предъявляемым к программному обеспечению, включаемому в единый реестр российских программ для электронных вычислительных машин и баз данных в соответствии с постановлением Правительства Российской Федерации от 16 ноября 2015 г. № 1236.</w:t>
      </w:r>
    </w:p>
    <w:bookmarkEnd w:id="32"/>
    <w:bookmarkEnd w:id="33"/>
    <w:sectPr w:rsidR="00FC693F" w:rsidRPr="0006063C" w:rsidSect="00034616">
      <w:pgSz w:h="15840" w:w="12240"/>
      <w:pgMar w:bottom="1138" w:footer="720" w:gutter="0" w:header="720" w:left="1699" w:right="850" w:top="1138"/>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rPr>
      <w:rFonts w:ascii="Times New Roman" w:cs="Times New Roman" w:eastAsia="Times New Roman" w:hAnsi="Times New Roman"/>
      <w:sz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2026-07-07T16:16:08Z</dcterms:created>
  <dcterms:modified xsi:type="dcterms:W3CDTF">2026-07-07T16:16:08Z</dcterms:modified>
</cp:coreProperties>
</file>

<file path=docProps/custom.xml><?xml version="1.0" encoding="utf-8"?>
<Properties xmlns="http://schemas.openxmlformats.org/officeDocument/2006/custom-properties" xmlns:vt="http://schemas.openxmlformats.org/officeDocument/2006/docPropsVTypes"/>
</file>