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1" w:name="X04889418c440c84b141d7ce53f16bc1827efef6"/>
    <w:p>
      <w:pPr>
        <w:pStyle w:val="Heading1"/>
      </w:pPr>
      <w:r>
        <w:t xml:space="preserve">РУКОВОДСТВО по эксплуатации программного обеспечения «КРАСОФТ Поиск»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Общество с ограниченной ответственностью «Красофт»</w:t>
      </w:r>
      <w:r>
        <w:t xml:space="preserve"> </w:t>
      </w:r>
      <w:r>
        <w:t xml:space="preserve">(ООО «Красофт»)</w:t>
      </w:r>
    </w:p>
    <w:p>
      <w:pPr>
        <w:pStyle w:val="BodyText"/>
      </w:pPr>
      <w:r>
        <w:t xml:space="preserve">ИНН: 9705142730 · ОГРН: 1207700109165 · КПП: 070001001</w:t>
      </w:r>
      <w:r>
        <w:t xml:space="preserve"> </w:t>
      </w:r>
      <w:r>
        <w:t xml:space="preserve">Юридический адрес: 360001, Кабардино-Балкарская Республика, г. Нальчик, ул. Мечиева, зд. 207а, этаж 4</w:t>
      </w:r>
      <w:r>
        <w:t xml:space="preserve"> </w:t>
      </w:r>
      <w:r>
        <w:t xml:space="preserve">Регистрационный номер в Реестре операторов, осуществляющих обработку персональных данных (Роскомнадзор): № 26-26-052889</w:t>
      </w:r>
      <w:r>
        <w:t xml:space="preserve"> </w:t>
      </w:r>
      <w:r>
        <w:t xml:space="preserve">Телефон: +7 (495) 540-55-99 · Электронная почта: info@krasoft.ru</w:t>
      </w:r>
    </w:p>
    <w:p>
      <w:r>
        <w:pict>
          <v:rect style="width:0;height:1.5pt" o:hralign="center" o:hrstd="t" o:hr="t"/>
        </w:pic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Реквизит документа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Наименование программного обеспечения</w:t>
            </w:r>
          </w:p>
        </w:tc>
        <w:tc>
          <w:tcPr/>
          <w:p>
            <w:pPr>
              <w:pStyle w:val="Compact"/>
            </w:pPr>
            <w:r>
              <w:t xml:space="preserve">«КРАСОФТ Поиск» (KrasoftSearch)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Вид документа</w:t>
            </w:r>
          </w:p>
        </w:tc>
        <w:tc>
          <w:tcPr/>
          <w:p>
            <w:pPr>
              <w:pStyle w:val="Compact"/>
            </w:pPr>
            <w:r>
              <w:t xml:space="preserve">Руководство по эксплуатации (руководство пользователя и администратора)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Версия документа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Версия программного обеспечения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Дата утверждения</w:t>
            </w:r>
          </w:p>
        </w:tc>
        <w:tc>
          <w:tcPr/>
          <w:p>
            <w:pPr>
              <w:pStyle w:val="Compact"/>
            </w:pPr>
            <w:r>
              <w:t xml:space="preserve">07.07.2026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Правообладатель</w:t>
            </w:r>
          </w:p>
        </w:tc>
        <w:tc>
          <w:tcPr/>
          <w:p>
            <w:pPr>
              <w:pStyle w:val="Compact"/>
            </w:pPr>
            <w:r>
              <w:t xml:space="preserve">ООО «Красофт»</w:t>
            </w:r>
          </w:p>
        </w:tc>
      </w:tr>
    </w:tbl>
    <w:p>
      <w:r>
        <w:pict>
          <v:rect style="width:0;height:1.5pt" o:hralign="center" o:hrstd="t" o:hr="t"/>
        </w:pict>
      </w:r>
    </w:p>
    <w:bookmarkStart w:id="15" w:name="общие-положения"/>
    <w:p>
      <w:pPr>
        <w:pStyle w:val="Heading2"/>
      </w:pPr>
      <w:r>
        <w:t xml:space="preserve">1. Общие положения</w:t>
      </w:r>
    </w:p>
    <w:bookmarkStart w:id="9" w:name="назначение-документа"/>
    <w:p>
      <w:pPr>
        <w:pStyle w:val="Heading3"/>
      </w:pPr>
      <w:r>
        <w:t xml:space="preserve">1.1. Назначение документа</w:t>
      </w:r>
    </w:p>
    <w:p>
      <w:pPr>
        <w:pStyle w:val="FirstParagraph"/>
      </w:pPr>
      <w:r>
        <w:t xml:space="preserve">Настоящее Руководство по эксплуатации (далее — Руководство) определяет порядок установки, настройки, штатной эксплуатации, администрирования и сопровождения программного обеспечения «КРАСОФТ Поиск» (латинское наименование — KrasoftSearch; далее — ПО, Система, «КРАСОФТ Поиск»), правообладателем которого является Общество с ограниченной ответственностью «Красофт» (далее — Правообладатель, ООО «Красофт»).</w:t>
      </w:r>
    </w:p>
    <w:p>
      <w:pPr>
        <w:pStyle w:val="BodyText"/>
      </w:pPr>
      <w:r>
        <w:t xml:space="preserve">Руководство подготовлено в составе документации, необходимой для эксплуатации программного обеспечения, в соответствии с подпунктом «д» пункта 5 Правил формирования и ведения единого реестра российских программ для электронных вычислительных машин и баз данных, утверждённых постановлением Правительства Российской Федерации от 16 ноября 2015 г. № 1236 «Об утверждении Правил формирования и ведения единого реестра российских программ для электронных вычислительных машин и баз данных и единого реестра программ для электронных вычислительных машин и баз данных из государств — членов Евразийского экономического союза, за исключением Российской Федерации» (далее — постановление Правительства Российской Федерации № 1236).</w:t>
      </w:r>
    </w:p>
    <w:p>
      <w:pPr>
        <w:pStyle w:val="BodyText"/>
      </w:pPr>
      <w:r>
        <w:t xml:space="preserve">Документ предназначен для использования при включении ПО «КРАСОФТ Поиск» в единый реестр российских программ для электронных вычислительных машин и баз данных, а также для практического применения пользователями и администраторами Системы.</w:t>
      </w:r>
    </w:p>
    <w:bookmarkEnd w:id="9"/>
    <w:bookmarkStart w:id="10" w:name="область-применения"/>
    <w:p>
      <w:pPr>
        <w:pStyle w:val="Heading3"/>
      </w:pPr>
      <w:r>
        <w:t xml:space="preserve">1.2. Область применения</w:t>
      </w:r>
    </w:p>
    <w:p>
      <w:pPr>
        <w:pStyle w:val="FirstParagraph"/>
      </w:pPr>
      <w:r>
        <w:t xml:space="preserve">Руководство распространяется на программное обеспечение «КРАСОФТ Поиск» во всех вариантах его поставки и эксплуатации на территории Российской Федерации. Программное обеспечение и документация, необходимая для его эксплуатации, не имеют ограничений на использование на всей территории Российской Федерации.</w:t>
      </w:r>
    </w:p>
    <w:bookmarkEnd w:id="10"/>
    <w:bookmarkStart w:id="11" w:name="назначение-программного-обеспечения"/>
    <w:p>
      <w:pPr>
        <w:pStyle w:val="Heading3"/>
      </w:pPr>
      <w:r>
        <w:t xml:space="preserve">1.3. Назначение программного обеспечения</w:t>
      </w:r>
    </w:p>
    <w:p>
      <w:pPr>
        <w:pStyle w:val="FirstParagraph"/>
      </w:pPr>
      <w:r>
        <w:t xml:space="preserve">«КРАСОФТ Поиск» — веб-сервис поиска по реестрам государственных и корпоративных закупок Российской Федерации, обеспечивающий поиск и анализ сведений по следующим категориям данных:</w:t>
      </w:r>
    </w:p>
    <w:p>
      <w:pPr>
        <w:pStyle w:val="Compact"/>
        <w:numPr>
          <w:ilvl w:val="0"/>
          <w:numId w:val="1001"/>
        </w:numPr>
      </w:pPr>
      <w:r>
        <w:t xml:space="preserve">извещения о закупках (по Федеральному закону от 05.04.2013 № 44-ФЗ «О контрактной системе в сфере закупок товаров, работ, услуг для обеспечения государственных и муниципальных нужд» и Федеральному закону от 18.07.2011 № 223-ФЗ «О закупках товаров, работ, услуг отдельными видами юридических лиц»);</w:t>
      </w:r>
    </w:p>
    <w:p>
      <w:pPr>
        <w:pStyle w:val="Compact"/>
        <w:numPr>
          <w:ilvl w:val="0"/>
          <w:numId w:val="1001"/>
        </w:numPr>
      </w:pPr>
      <w:r>
        <w:t xml:space="preserve">контракты и сведения об их исполнении;</w:t>
      </w:r>
    </w:p>
    <w:p>
      <w:pPr>
        <w:pStyle w:val="Compact"/>
        <w:numPr>
          <w:ilvl w:val="0"/>
          <w:numId w:val="1001"/>
        </w:numPr>
      </w:pPr>
      <w:r>
        <w:t xml:space="preserve">план-график закупок;</w:t>
      </w:r>
    </w:p>
    <w:p>
      <w:pPr>
        <w:pStyle w:val="Compact"/>
        <w:numPr>
          <w:ilvl w:val="0"/>
          <w:numId w:val="1001"/>
        </w:numPr>
      </w:pPr>
      <w:r>
        <w:t xml:space="preserve">объекты закупок;</w:t>
      </w:r>
    </w:p>
    <w:p>
      <w:pPr>
        <w:pStyle w:val="Compact"/>
        <w:numPr>
          <w:ilvl w:val="0"/>
          <w:numId w:val="1001"/>
        </w:numPr>
      </w:pPr>
      <w:r>
        <w:t xml:space="preserve">спецификации (техническое задание, позиции закупок);</w:t>
      </w:r>
    </w:p>
    <w:p>
      <w:pPr>
        <w:pStyle w:val="Compact"/>
        <w:numPr>
          <w:ilvl w:val="0"/>
          <w:numId w:val="1001"/>
        </w:numPr>
      </w:pPr>
      <w:r>
        <w:t xml:space="preserve">исполнение контрактов (оплаты, поставки).</w:t>
      </w:r>
    </w:p>
    <w:p>
      <w:pPr>
        <w:pStyle w:val="FirstParagraph"/>
      </w:pPr>
      <w:r>
        <w:t xml:space="preserve">Ключевые функциональные возможности Системы:</w:t>
      </w:r>
    </w:p>
    <w:p>
      <w:pPr>
        <w:pStyle w:val="Compact"/>
        <w:numPr>
          <w:ilvl w:val="0"/>
          <w:numId w:val="1002"/>
        </w:numPr>
      </w:pPr>
      <w:r>
        <w:t xml:space="preserve">полнотекстовый и атрибутивный поиск по реестрам закупок;</w:t>
      </w:r>
    </w:p>
    <w:p>
      <w:pPr>
        <w:pStyle w:val="Compact"/>
        <w:numPr>
          <w:ilvl w:val="0"/>
          <w:numId w:val="1002"/>
        </w:numPr>
      </w:pPr>
      <w:r>
        <w:t xml:space="preserve">конструктор сохраняемых пользователем поисковых фильтров;</w:t>
      </w:r>
    </w:p>
    <w:p>
      <w:pPr>
        <w:pStyle w:val="Compact"/>
        <w:numPr>
          <w:ilvl w:val="0"/>
          <w:numId w:val="1002"/>
        </w:numPr>
      </w:pPr>
      <w:r>
        <w:t xml:space="preserve">настройка рассылок уведомлений по сохранённым фильтрам;</w:t>
      </w:r>
    </w:p>
    <w:p>
      <w:pPr>
        <w:pStyle w:val="Compact"/>
        <w:numPr>
          <w:ilvl w:val="0"/>
          <w:numId w:val="1002"/>
        </w:numPr>
      </w:pPr>
      <w:r>
        <w:t xml:space="preserve">работа со справочниками (классификаторы, регионы, заказчики, поставщики, номенклатура и др.);</w:t>
      </w:r>
    </w:p>
    <w:p>
      <w:pPr>
        <w:pStyle w:val="Compact"/>
        <w:numPr>
          <w:ilvl w:val="0"/>
          <w:numId w:val="1002"/>
        </w:numPr>
      </w:pPr>
      <w:r>
        <w:t xml:space="preserve">экспорт результатов поиска в файл формата Microsoft Excel (.xlsx);</w:t>
      </w:r>
    </w:p>
    <w:p>
      <w:pPr>
        <w:pStyle w:val="Compact"/>
        <w:numPr>
          <w:ilvl w:val="0"/>
          <w:numId w:val="1002"/>
        </w:numPr>
      </w:pPr>
      <w:r>
        <w:t xml:space="preserve">ведение личного кабинета пользователя.</w:t>
      </w:r>
    </w:p>
    <w:bookmarkEnd w:id="11"/>
    <w:bookmarkStart w:id="12" w:name="условия-предоставления"/>
    <w:p>
      <w:pPr>
        <w:pStyle w:val="Heading3"/>
      </w:pPr>
      <w:r>
        <w:t xml:space="preserve">1.4. Условия предоставления</w:t>
      </w:r>
    </w:p>
    <w:p>
      <w:pPr>
        <w:pStyle w:val="FirstParagraph"/>
      </w:pPr>
      <w:r>
        <w:t xml:space="preserve">Программное обеспечение предоставляется на территории Российской Федерации по лицензии (модель «программное обеспечение как услуга», SaaS / подписка). Условия и модель ценообразования приведены в соответствующем документе комплекта (документ о стоимости и порядке предоставления прав использования). Принудительное обновление и управление Системой из-за рубежа отсутствуют; работоспособность ПО не зависит от иностранных лиц и иностранной инфраструктуры. Эксплуатация осуществляется на территории Российской Федерации, серверное оборудование размещается на территории Российской Федерации.</w:t>
      </w:r>
    </w:p>
    <w:bookmarkEnd w:id="12"/>
    <w:bookmarkStart w:id="13" w:name="термины-и-сокращения"/>
    <w:p>
      <w:pPr>
        <w:pStyle w:val="Heading3"/>
      </w:pPr>
      <w:r>
        <w:t xml:space="preserve">1.5. Термины и сокращения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Термин / сокращение</w:t>
            </w:r>
          </w:p>
        </w:tc>
        <w:tc>
          <w:tcPr/>
          <w:p>
            <w:pPr>
              <w:pStyle w:val="Compact"/>
            </w:pPr>
            <w:r>
              <w:t xml:space="preserve">Расшифровка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ПО, Система</w:t>
            </w:r>
          </w:p>
        </w:tc>
        <w:tc>
          <w:tcPr/>
          <w:p>
            <w:pPr>
              <w:pStyle w:val="Compact"/>
            </w:pPr>
            <w:r>
              <w:t xml:space="preserve">Программное обеспечение «КРАСОФТ Поиск»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Пользователь</w:t>
            </w:r>
          </w:p>
        </w:tc>
        <w:tc>
          <w:tcPr/>
          <w:p>
            <w:pPr>
              <w:pStyle w:val="Compact"/>
            </w:pPr>
            <w:r>
              <w:t xml:space="preserve">Лицо, использующее Систему в пределах предоставленных прав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t xml:space="preserve">Уполномоченный сотрудник организации-пользователя или ООО «Красофт», обладающий правами управления учётными записями, доступом и сопровождения экземпляра ПО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Фильтр</w:t>
            </w:r>
          </w:p>
        </w:tc>
        <w:tc>
          <w:tcPr/>
          <w:p>
            <w:pPr>
              <w:pStyle w:val="Compact"/>
            </w:pPr>
            <w:r>
              <w:t xml:space="preserve">Сохраняемый пользователем набор условий поиска по реестрам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Рассылка (уведомление)</w:t>
            </w:r>
          </w:p>
        </w:tc>
        <w:tc>
          <w:tcPr/>
          <w:p>
            <w:pPr>
              <w:pStyle w:val="Compact"/>
            </w:pPr>
            <w:r>
              <w:t xml:space="preserve">Автоматическая отправка пользователю сведений о новых записях, соответствующих сохранённому фильтру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Entitlements</w:t>
            </w:r>
          </w:p>
        </w:tc>
        <w:tc>
          <w:tcPr/>
          <w:p>
            <w:pPr>
              <w:pStyle w:val="Compact"/>
            </w:pPr>
            <w:r>
              <w:t xml:space="preserve">Набор прав доступа (разрешений на функциональные модули и реестры), определяющий доступные пользователю возможности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JWT</w:t>
            </w:r>
          </w:p>
        </w:tc>
        <w:tc>
          <w:tcPr/>
          <w:p>
            <w:pPr>
              <w:pStyle w:val="Compact"/>
            </w:pPr>
            <w:r>
              <w:t xml:space="preserve">JSON Web Token — формат маркера аутентификации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Health-check</w:t>
            </w:r>
          </w:p>
        </w:tc>
        <w:tc>
          <w:tcPr/>
          <w:p>
            <w:pPr>
              <w:pStyle w:val="Compact"/>
            </w:pPr>
            <w:r>
              <w:t xml:space="preserve">Проверка состояния (работоспособности) компонентов Системы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СУБД</w:t>
            </w:r>
          </w:p>
        </w:tc>
        <w:tc>
          <w:tcPr/>
          <w:p>
            <w:pPr>
              <w:pStyle w:val="Compact"/>
            </w:pPr>
            <w:r>
              <w:t xml:space="preserve">Система управления базами данных; провайдер выбирается параметрами конфигурации при развёртывании — на выбор: PostgreSQL, Postgres Pro или Microsoft SQL Server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Поисковая подсистема</w:t>
            </w:r>
          </w:p>
        </w:tc>
        <w:tc>
          <w:tcPr/>
          <w:p>
            <w:pPr>
              <w:pStyle w:val="Compact"/>
            </w:pPr>
            <w:r>
              <w:t xml:space="preserve">Внешняя поисковая подсистема (полнотекстовый индекс), обеспечивающая полнотекстовый и фасетный поиск; относится к среде функционирования и не входит в состав поставляемого ПО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Реестр</w:t>
            </w:r>
          </w:p>
        </w:tc>
        <w:tc>
          <w:tcPr/>
          <w:p>
            <w:pPr>
              <w:pStyle w:val="Compact"/>
            </w:pPr>
            <w:r>
              <w:t xml:space="preserve">Структурированный набор сведений о закупках, доступный для поиска в Системе</w:t>
            </w:r>
          </w:p>
        </w:tc>
      </w:tr>
    </w:tbl>
    <w:bookmarkEnd w:id="13"/>
    <w:bookmarkStart w:id="14" w:name="применяемые-нормативные-правовые-акты"/>
    <w:p>
      <w:pPr>
        <w:pStyle w:val="Heading3"/>
      </w:pPr>
      <w:r>
        <w:t xml:space="preserve">1.6. Применяемые нормативные правовые акты</w:t>
      </w:r>
    </w:p>
    <w:p>
      <w:pPr>
        <w:pStyle w:val="Compact"/>
        <w:numPr>
          <w:ilvl w:val="0"/>
          <w:numId w:val="1003"/>
        </w:numPr>
      </w:pPr>
      <w:r>
        <w:t xml:space="preserve">Постановление Правительства Российской Федерации от 16 ноября 2015 г. № 1236 «Об утверждении Правил формирования и ведения единого реестра российских программ для электронных вычислительных машин и баз данных и единого реестра программ для электронных вычислительных машин и баз данных из государств — членов Евразийского экономического союза, за исключением Российской Федерации» (с учётом последующих изменений);</w:t>
      </w:r>
    </w:p>
    <w:p>
      <w:pPr>
        <w:pStyle w:val="Compact"/>
        <w:numPr>
          <w:ilvl w:val="0"/>
          <w:numId w:val="1003"/>
        </w:numPr>
      </w:pPr>
      <w:r>
        <w:t xml:space="preserve">Приказ Министерства цифрового развития, связи и массовых коммуникаций Российской Федерации от 22.09.2020 № 486 «Об утверждении классификатора программ для электронных вычислительных машин и баз данных»;</w:t>
      </w:r>
    </w:p>
    <w:p>
      <w:pPr>
        <w:pStyle w:val="Compact"/>
        <w:numPr>
          <w:ilvl w:val="0"/>
          <w:numId w:val="1003"/>
        </w:numPr>
      </w:pPr>
      <w:r>
        <w:t xml:space="preserve">Федеральный закон от 27.07.2006 № 149-ФЗ «Об информации, информационных технологиях и о защите информации»;</w:t>
      </w:r>
    </w:p>
    <w:p>
      <w:pPr>
        <w:pStyle w:val="Compact"/>
        <w:numPr>
          <w:ilvl w:val="0"/>
          <w:numId w:val="1003"/>
        </w:numPr>
      </w:pPr>
      <w:r>
        <w:t xml:space="preserve">Федеральный закон от 27.07.2006 № 152-ФЗ «О персональных данных»;</w:t>
      </w:r>
    </w:p>
    <w:p>
      <w:pPr>
        <w:pStyle w:val="Compact"/>
        <w:numPr>
          <w:ilvl w:val="0"/>
          <w:numId w:val="1003"/>
        </w:numPr>
      </w:pPr>
      <w:r>
        <w:t xml:space="preserve">Федеральный закон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>
      <w:pPr>
        <w:pStyle w:val="Compact"/>
        <w:numPr>
          <w:ilvl w:val="0"/>
          <w:numId w:val="1003"/>
        </w:numPr>
      </w:pPr>
      <w:r>
        <w:t xml:space="preserve">Федеральный закон от 18.07.2011 № 223-ФЗ «О закупках товаров, работ, услуг отдельными видами юридических лиц».</w: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20" w:name="X8c8c5f9d69eebfbcc59b536c8af13cd07f3a1e6"/>
    <w:p>
      <w:pPr>
        <w:pStyle w:val="Heading2"/>
      </w:pPr>
      <w:r>
        <w:t xml:space="preserve">2. Условия эксплуатации и технические требования</w:t>
      </w:r>
    </w:p>
    <w:bookmarkStart w:id="16" w:name="архитектура-и-технологический-стек"/>
    <w:p>
      <w:pPr>
        <w:pStyle w:val="Heading3"/>
      </w:pPr>
      <w:r>
        <w:t xml:space="preserve">2.1. Архитектура и технологический стек</w:t>
      </w:r>
    </w:p>
    <w:p>
      <w:pPr>
        <w:pStyle w:val="FirstParagraph"/>
      </w:pPr>
      <w:r>
        <w:t xml:space="preserve">Программное обеспечение «КРАСОФТ Поиск» построено по клиент-серверной (веб) архитектуре и включает следующие компоненты: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Серверная часть (backend):</w:t>
      </w:r>
      <w:r>
        <w:t xml:space="preserve"> </w:t>
      </w:r>
      <w:r>
        <w:t xml:space="preserve">платформа .NET (ASP.NET Core) (язык C#), библиотеки FastEndpoints и Dapper, прямые SQL-запросы (raw SQL); доступ к данным — через внешнюю реляционную СУБД, провайдер которой выбирается параметрами конфигурации при развёртывании (на выбор: PostgreSQL, Postgres Pro или Microsoft SQL Server).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Поисковая подсистема:</w:t>
      </w:r>
      <w:r>
        <w:t xml:space="preserve"> </w:t>
      </w:r>
      <w:r>
        <w:t xml:space="preserve">внешняя поисковая подсистема (полнотекстовый индекс), провайдер которой выбирается параметрами конфигурации при развёртывании (на выбор: ClickHouse или Elasticsearch); относится к среде функционирования и не входит в состав поставляемого ПО.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Клиентская часть (frontend):</w:t>
      </w:r>
      <w:r>
        <w:t xml:space="preserve"> </w:t>
      </w:r>
      <w:r>
        <w:t xml:space="preserve">Next.js / React / TypeScript, среда исполнения Node.js.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Обратный прокси-сервер:</w:t>
      </w:r>
      <w:r>
        <w:t xml:space="preserve"> </w:t>
      </w:r>
      <w:r>
        <w:t xml:space="preserve">nginx.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Среда исполнения серверной части:</w:t>
      </w:r>
      <w:r>
        <w:t xml:space="preserve"> </w:t>
      </w:r>
      <w:r>
        <w:t xml:space="preserve">операционная система семейства Linux, включая отечественную ОС Astra Linux (например, Ubuntu Server), запуск служб через systemd.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Аутентификация:</w:t>
      </w:r>
      <w:r>
        <w:t xml:space="preserve"> </w:t>
      </w:r>
      <w:r>
        <w:t xml:space="preserve">на основе маркеров JWT.</w:t>
      </w:r>
    </w:p>
    <w:p>
      <w:pPr>
        <w:pStyle w:val="FirstParagraph"/>
      </w:pPr>
      <w:r>
        <w:t xml:space="preserve">В состав ПО включены только свободные библиотеки с разрешительными (пермиссивными) лицензиями (MIT, Apache-2.0, BSD, ISC). Проприетарные иностранные компоненты, требующие платных лицензий иностранному правообладателю, отсутствуют. Полный перечень используемых сторонних компонентов приведён в отдельном документе комплекта (документ о составе компонентов программного обеспечения).</w:t>
      </w:r>
    </w:p>
    <w:bookmarkEnd w:id="16"/>
    <w:bookmarkStart w:id="17" w:name="размещение-системы"/>
    <w:p>
      <w:pPr>
        <w:pStyle w:val="Heading3"/>
      </w:pPr>
      <w:r>
        <w:t xml:space="preserve">2.2. Размещение Системы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Среда</w:t>
            </w:r>
          </w:p>
        </w:tc>
        <w:tc>
          <w:tcPr/>
          <w:p>
            <w:pPr>
              <w:pStyle w:val="Compact"/>
            </w:pPr>
            <w:r>
              <w:t xml:space="preserve">Адрес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Основной сервис (промышленная эксплуатация)</w:t>
            </w:r>
          </w:p>
        </w:tc>
        <w:tc>
          <w:tcPr/>
          <w:p>
            <w:pPr>
              <w:pStyle w:val="Compact"/>
            </w:pPr>
            <w:r>
              <w:t xml:space="preserve">https://красофт.рф</w:t>
            </w:r>
          </w:p>
        </w:tc>
        <w:tc>
          <w:tcPr/>
          <w:p>
            <w:pPr>
              <w:pStyle w:val="Compact"/>
            </w:pPr>
            <w:r>
              <w:t xml:space="preserve">Рабочий доступ пользователей к Системе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Предварительный (тестовый) контур</w:t>
            </w:r>
          </w:p>
        </w:tc>
        <w:tc>
          <w:tcPr/>
          <w:p>
            <w:pPr>
              <w:pStyle w:val="Compact"/>
            </w:pPr>
            <w:r>
              <w:t xml:space="preserve">внутренний контур Правообладателя</w:t>
            </w:r>
          </w:p>
        </w:tc>
        <w:tc>
          <w:tcPr/>
          <w:p>
            <w:pPr>
              <w:pStyle w:val="Compact"/>
            </w:pPr>
            <w:r>
              <w:t xml:space="preserve">Проверка обновлений до вывода в промышленную эксплуатацию</w:t>
            </w:r>
          </w:p>
        </w:tc>
      </w:tr>
    </w:tbl>
    <w:bookmarkEnd w:id="17"/>
    <w:bookmarkStart w:id="18" w:name="требования-к-рабочему-месту-пользователя"/>
    <w:p>
      <w:pPr>
        <w:pStyle w:val="Heading3"/>
      </w:pPr>
      <w:r>
        <w:t xml:space="preserve">2.3. Требования к рабочему месту пользователя</w:t>
      </w:r>
    </w:p>
    <w:p>
      <w:pPr>
        <w:pStyle w:val="FirstParagraph"/>
      </w:pPr>
      <w:r>
        <w:t xml:space="preserve">Для работы с Системой на рабочем месте пользователя достаточно современного веб-браузера; установка дополнительного программного обеспечения не требуется.</w:t>
      </w:r>
    </w:p>
    <w:p>
      <w:pPr>
        <w:pStyle w:val="Compact"/>
        <w:numPr>
          <w:ilvl w:val="0"/>
          <w:numId w:val="1005"/>
        </w:numPr>
      </w:pPr>
      <w:r>
        <w:t xml:space="preserve">Веб-браузер: актуальные версии (две последние) Яндекс Браузера, Google Chrome, Mozilla Firefox, Microsoft Edge (поддержка HTML5, JavaScript/ECMAScript) либо иной совместимый браузер.</w:t>
      </w:r>
    </w:p>
    <w:p>
      <w:pPr>
        <w:pStyle w:val="Compact"/>
        <w:numPr>
          <w:ilvl w:val="0"/>
          <w:numId w:val="1005"/>
        </w:numPr>
      </w:pPr>
      <w:r>
        <w:t xml:space="preserve">Разрешение экрана: не ниже 1280 × 720 точек (рекомендуется 1920 × 1080).</w:t>
      </w:r>
    </w:p>
    <w:p>
      <w:pPr>
        <w:pStyle w:val="Compact"/>
        <w:numPr>
          <w:ilvl w:val="0"/>
          <w:numId w:val="1005"/>
        </w:numPr>
      </w:pPr>
      <w:r>
        <w:t xml:space="preserve">Канал связи с сетью «Интернет»: устойчивое соединение со скоростью не ниже 10 Мбит/с.</w:t>
      </w:r>
    </w:p>
    <w:p>
      <w:pPr>
        <w:pStyle w:val="Compact"/>
        <w:numPr>
          <w:ilvl w:val="0"/>
          <w:numId w:val="1005"/>
        </w:numPr>
      </w:pPr>
      <w:r>
        <w:t xml:space="preserve">В браузере должны быть разрешены файлы cookie и исполнение JavaScript для домена основного сервиса.</w:t>
      </w:r>
    </w:p>
    <w:bookmarkEnd w:id="18"/>
    <w:bookmarkStart w:id="19" w:name="требования-к-серверной-инфраструктуре"/>
    <w:p>
      <w:pPr>
        <w:pStyle w:val="Heading3"/>
      </w:pPr>
      <w:r>
        <w:t xml:space="preserve">2.4. Требования к серверной инфраструктуре</w:t>
      </w:r>
    </w:p>
    <w:p>
      <w:pPr>
        <w:pStyle w:val="FirstParagraph"/>
      </w:pPr>
      <w:r>
        <w:t xml:space="preserve">Серверная инфраструктура обеспечивается и сопровождается ООО «Красофт». Минимальные рекомендуемые параметры серверного окружения:</w:t>
      </w:r>
    </w:p>
    <w:p>
      <w:pPr>
        <w:pStyle w:val="Compact"/>
        <w:numPr>
          <w:ilvl w:val="0"/>
          <w:numId w:val="1006"/>
        </w:numPr>
      </w:pPr>
      <w:r>
        <w:t xml:space="preserve">Операционная система: операционная система семейства Linux, включая отечественную ОС Astra Linux (например, Ubuntu Server), либо иной поддерживаемый дистрибутив семейства Linux.</w:t>
      </w:r>
    </w:p>
    <w:p>
      <w:pPr>
        <w:pStyle w:val="Compact"/>
        <w:numPr>
          <w:ilvl w:val="0"/>
          <w:numId w:val="1006"/>
        </w:numPr>
      </w:pPr>
      <w:r>
        <w:t xml:space="preserve">Среда исполнения: .NET (ASP.NET Core).</w:t>
      </w:r>
    </w:p>
    <w:p>
      <w:pPr>
        <w:pStyle w:val="Compact"/>
        <w:numPr>
          <w:ilvl w:val="0"/>
          <w:numId w:val="1006"/>
        </w:numPr>
      </w:pPr>
      <w:r>
        <w:t xml:space="preserve">Реляционная СУБД (на выбор, конкретный провайдер выбирается параметрами конфигурации при развёртывании): PostgreSQL, Postgres Pro или Microsoft SQL Server.</w:t>
      </w:r>
    </w:p>
    <w:p>
      <w:pPr>
        <w:pStyle w:val="Compact"/>
        <w:numPr>
          <w:ilvl w:val="0"/>
          <w:numId w:val="1006"/>
        </w:numPr>
      </w:pPr>
      <w:r>
        <w:t xml:space="preserve">Поисковая подсистема (на выбор, конкретный провайдер выбирается параметрами конфигурации при развёртывании): ClickHouse или Elasticsearch.</w:t>
      </w:r>
    </w:p>
    <w:p>
      <w:pPr>
        <w:pStyle w:val="Compact"/>
        <w:numPr>
          <w:ilvl w:val="0"/>
          <w:numId w:val="1006"/>
        </w:numPr>
      </w:pPr>
      <w:r>
        <w:t xml:space="preserve">Обратный прокси: nginx.</w:t>
      </w:r>
    </w:p>
    <w:p>
      <w:pPr>
        <w:pStyle w:val="Compact"/>
        <w:numPr>
          <w:ilvl w:val="0"/>
          <w:numId w:val="1006"/>
        </w:numPr>
      </w:pPr>
      <w:r>
        <w:t xml:space="preserve">Процессор: не менее 4 виртуальных ядер; оперативная память: не менее 8 ГБ; дисковое пространство: не менее 50 ГБ (SSD).</w:t>
      </w:r>
    </w:p>
    <w:p>
      <w:r>
        <w:pict>
          <v:rect style="width:0;height:1.5pt" o:hralign="center" o:hrstd="t" o:hr="t"/>
        </w:pict>
      </w:r>
    </w:p>
    <w:bookmarkEnd w:id="19"/>
    <w:bookmarkEnd w:id="20"/>
    <w:bookmarkEnd w:id="21"/>
    <w:bookmarkStart w:id="54" w:name="раздел-i.-руководство-пользователя"/>
    <w:p>
      <w:pPr>
        <w:pStyle w:val="Heading1"/>
      </w:pPr>
      <w:r>
        <w:t xml:space="preserve">РАЗДЕЛ I. РУКОВОДСТВО ПОЛЬЗОВАТЕЛЯ</w:t>
      </w:r>
    </w:p>
    <w:bookmarkStart w:id="26" w:name="вход-в-систему"/>
    <w:p>
      <w:pPr>
        <w:pStyle w:val="Heading2"/>
      </w:pPr>
      <w:r>
        <w:t xml:space="preserve">3. Вход в систему</w:t>
      </w:r>
    </w:p>
    <w:bookmarkStart w:id="22" w:name="начало-работы"/>
    <w:p>
      <w:pPr>
        <w:pStyle w:val="Heading3"/>
      </w:pPr>
      <w:r>
        <w:t xml:space="preserve">3.1. Начало работы</w:t>
      </w:r>
    </w:p>
    <w:p>
      <w:pPr>
        <w:pStyle w:val="Compact"/>
        <w:numPr>
          <w:ilvl w:val="0"/>
          <w:numId w:val="1007"/>
        </w:numPr>
      </w:pPr>
      <w:r>
        <w:t xml:space="preserve">Откройте веб-браузер на рабочем месте.</w:t>
      </w:r>
    </w:p>
    <w:p>
      <w:pPr>
        <w:pStyle w:val="Compact"/>
        <w:numPr>
          <w:ilvl w:val="0"/>
          <w:numId w:val="1007"/>
        </w:numPr>
      </w:pPr>
      <w:r>
        <w:t xml:space="preserve">В адресной строке введите адрес основного сервиса:</w:t>
      </w:r>
      <w:r>
        <w:t xml:space="preserve"> </w:t>
      </w:r>
      <w:r>
        <w:rPr>
          <w:rStyle w:val="VerbatimChar"/>
        </w:rPr>
        <w:t xml:space="preserve">https://красофт.рф</w:t>
      </w:r>
      <w:r>
        <w:t xml:space="preserve"> </w:t>
      </w:r>
      <w:r>
        <w:t xml:space="preserve">(либо адрес предоставленного вам экземпляра Системы).</w:t>
      </w:r>
    </w:p>
    <w:p>
      <w:pPr>
        <w:pStyle w:val="Compact"/>
        <w:numPr>
          <w:ilvl w:val="0"/>
          <w:numId w:val="1007"/>
        </w:numPr>
      </w:pPr>
      <w:r>
        <w:t xml:space="preserve">Дождитесь загрузки страницы входа (авторизации).</w:t>
      </w:r>
    </w:p>
    <w:p>
      <w:pPr>
        <w:pStyle w:val="FirstParagraph"/>
      </w:pPr>
      <w:r>
        <w:rPr>
          <w:b/>
          <w:bCs/>
        </w:rPr>
        <w:t xml:space="preserve">Демонстрационный доступ для проверки:</w:t>
      </w:r>
      <w:r>
        <w:t xml:space="preserve"> </w:t>
      </w:r>
      <w:r>
        <w:t xml:space="preserve">адрес</w:t>
      </w:r>
      <w:r>
        <w:t xml:space="preserve"> </w:t>
      </w:r>
      <w:r>
        <w:rPr>
          <w:rStyle w:val="VerbatimChar"/>
        </w:rPr>
        <w:t xml:space="preserve">https://красофт.рф</w:t>
      </w:r>
      <w:r>
        <w:t xml:space="preserve">; учётные данные предоставляются по запросу (обращение на info@krasoft.ru).</w:t>
      </w:r>
    </w:p>
    <w:bookmarkEnd w:id="22"/>
    <w:bookmarkStart w:id="23" w:name="авторизация"/>
    <w:p>
      <w:pPr>
        <w:pStyle w:val="Heading3"/>
      </w:pPr>
      <w:r>
        <w:t xml:space="preserve">3.2. Авторизация</w:t>
      </w:r>
    </w:p>
    <w:p>
      <w:pPr>
        <w:pStyle w:val="Compact"/>
        <w:numPr>
          <w:ilvl w:val="0"/>
          <w:numId w:val="1008"/>
        </w:numPr>
      </w:pPr>
      <w:r>
        <w:t xml:space="preserve">На странице входа в поле «Логин» (или «Электронная почта») введите учётные данные, предоставленные администратором.</w:t>
      </w:r>
    </w:p>
    <w:p>
      <w:pPr>
        <w:pStyle w:val="Compact"/>
        <w:numPr>
          <w:ilvl w:val="0"/>
          <w:numId w:val="1008"/>
        </w:numPr>
      </w:pPr>
      <w:r>
        <w:t xml:space="preserve">В поле «Пароль» введите пароль.</w:t>
      </w:r>
    </w:p>
    <w:p>
      <w:pPr>
        <w:pStyle w:val="Compact"/>
        <w:numPr>
          <w:ilvl w:val="0"/>
          <w:numId w:val="1008"/>
        </w:numPr>
      </w:pPr>
      <w:r>
        <w:t xml:space="preserve">Нажмите кнопку «Войти».</w:t>
      </w:r>
    </w:p>
    <w:p>
      <w:pPr>
        <w:pStyle w:val="Compact"/>
        <w:numPr>
          <w:ilvl w:val="0"/>
          <w:numId w:val="1008"/>
        </w:numPr>
      </w:pPr>
      <w:r>
        <w:t xml:space="preserve">При успешной проверке учётных данных Система выдаёт маркер доступа (JWT) и выполняет переход на главный экран.</w:t>
      </w:r>
    </w:p>
    <w:p>
      <w:pPr>
        <w:pStyle w:val="FirstParagraph"/>
      </w:pPr>
      <w:r>
        <w:t xml:space="preserve">При вводе неверных учётных данных Система выводит сообщение об ошибке авторизации и предлагает повторить ввод. После нескольких неуспешных попыток подряд может применяться временная блокировка (определяется политикой безопасности экземпляра).</w:t>
      </w:r>
    </w:p>
    <w:bookmarkEnd w:id="23"/>
    <w:bookmarkStart w:id="24" w:name="завершение-сеанса"/>
    <w:p>
      <w:pPr>
        <w:pStyle w:val="Heading3"/>
      </w:pPr>
      <w:r>
        <w:t xml:space="preserve">3.3. Завершение сеанса</w:t>
      </w:r>
    </w:p>
    <w:p>
      <w:pPr>
        <w:pStyle w:val="FirstParagraph"/>
      </w:pPr>
      <w:r>
        <w:t xml:space="preserve">Для завершения работы воспользуйтесь пунктом «Выход» в меню профиля (в правом верхнем углу экрана). По истечении срока действия маркера доступа сеанс завершается автоматически; для продолжения работы потребуется повторная авторизация.</w:t>
      </w:r>
    </w:p>
    <w:bookmarkEnd w:id="24"/>
    <w:bookmarkStart w:id="25" w:name="восстановление-доступа"/>
    <w:p>
      <w:pPr>
        <w:pStyle w:val="Heading3"/>
      </w:pPr>
      <w:r>
        <w:t xml:space="preserve">3.4. Восстановление доступа</w:t>
      </w:r>
    </w:p>
    <w:p>
      <w:pPr>
        <w:pStyle w:val="FirstParagraph"/>
      </w:pPr>
      <w:r>
        <w:t xml:space="preserve">В случае утраты пароля обратитесь к администратору вашей организации либо в службу технической поддержки ООО «Красофт» (контакты приведены в разделе 17). Самостоятельный сброс пароля пользователем не предусмотрен: восстановление доступа выполняется по обращению к администратору.</w:t>
      </w:r>
    </w:p>
    <w:p>
      <w:r>
        <w:pict>
          <v:rect style="width:0;height:1.5pt" o:hralign="center" o:hrstd="t" o:hr="t"/>
        </w:pict>
      </w:r>
    </w:p>
    <w:bookmarkEnd w:id="25"/>
    <w:bookmarkEnd w:id="26"/>
    <w:bookmarkStart w:id="29" w:name="главный-экран-и-навигация"/>
    <w:p>
      <w:pPr>
        <w:pStyle w:val="Heading2"/>
      </w:pPr>
      <w:r>
        <w:t xml:space="preserve">4. Главный экран и навигация</w:t>
      </w:r>
    </w:p>
    <w:bookmarkStart w:id="27" w:name="структура-интерфейса"/>
    <w:p>
      <w:pPr>
        <w:pStyle w:val="Heading3"/>
      </w:pPr>
      <w:r>
        <w:t xml:space="preserve">4.1. Структура интерфейса</w:t>
      </w:r>
    </w:p>
    <w:p>
      <w:pPr>
        <w:pStyle w:val="FirstParagraph"/>
      </w:pPr>
      <w:r>
        <w:t xml:space="preserve">После авторизации открывается главный экран Системы, состоящий из следующих областей: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Верхняя панель (topbar):</w:t>
      </w:r>
      <w:r>
        <w:t xml:space="preserve"> </w:t>
      </w:r>
      <w:r>
        <w:t xml:space="preserve">наименование Системы, строка глобального поиска, индикатор уведомлений, меню профиля пользователя, кнопка вызова справки.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Боковое меню навигации (sidebar):</w:t>
      </w:r>
      <w:r>
        <w:t xml:space="preserve"> </w:t>
      </w:r>
      <w:r>
        <w:t xml:space="preserve">перечень доступных пользователю разделов и реестров (состав зависит от прав доступа — entitlements).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Рабочая область:</w:t>
      </w:r>
      <w:r>
        <w:t xml:space="preserve"> </w:t>
      </w:r>
      <w:r>
        <w:t xml:space="preserve">основная зона отображения форм поиска, списков результатов и карточек записей.</w:t>
      </w:r>
    </w:p>
    <w:bookmarkEnd w:id="27"/>
    <w:bookmarkStart w:id="28" w:name="разделы-системы"/>
    <w:p>
      <w:pPr>
        <w:pStyle w:val="Heading3"/>
      </w:pPr>
      <w:r>
        <w:t xml:space="preserve">4.2. Разделы Системы</w:t>
      </w:r>
    </w:p>
    <w:p>
      <w:pPr>
        <w:pStyle w:val="FirstParagraph"/>
      </w:pPr>
      <w:r>
        <w:t xml:space="preserve">Состав доступных разделов определяется правами пользователя. Типовой перечень:</w:t>
      </w:r>
    </w:p>
    <w:p>
      <w:pPr>
        <w:pStyle w:val="Compact"/>
        <w:numPr>
          <w:ilvl w:val="0"/>
          <w:numId w:val="1010"/>
        </w:numPr>
      </w:pPr>
      <w:r>
        <w:t xml:space="preserve">«Поиск по реестрам» — поиск по извещениям, контрактам, плану-графику, объектам закупок, спецификациям, исполнению контрактов;</w:t>
      </w:r>
    </w:p>
    <w:p>
      <w:pPr>
        <w:pStyle w:val="Compact"/>
        <w:numPr>
          <w:ilvl w:val="0"/>
          <w:numId w:val="1010"/>
        </w:numPr>
      </w:pPr>
      <w:r>
        <w:t xml:space="preserve">«Мои фильтры» — управление сохранёнными поисковыми фильтрами;</w:t>
      </w:r>
    </w:p>
    <w:p>
      <w:pPr>
        <w:pStyle w:val="Compact"/>
        <w:numPr>
          <w:ilvl w:val="0"/>
          <w:numId w:val="1010"/>
        </w:numPr>
      </w:pPr>
      <w:r>
        <w:t xml:space="preserve">«Рассылки» — настройка уведомлений по фильтрам;</w:t>
      </w:r>
    </w:p>
    <w:p>
      <w:pPr>
        <w:pStyle w:val="Compact"/>
        <w:numPr>
          <w:ilvl w:val="0"/>
          <w:numId w:val="1010"/>
        </w:numPr>
      </w:pPr>
      <w:r>
        <w:t xml:space="preserve">«Справочники» — просмотр и выбор значений классификаторов и справочников;</w:t>
      </w:r>
    </w:p>
    <w:p>
      <w:pPr>
        <w:pStyle w:val="Compact"/>
        <w:numPr>
          <w:ilvl w:val="0"/>
          <w:numId w:val="1010"/>
        </w:numPr>
      </w:pPr>
      <w:r>
        <w:t xml:space="preserve">«Профиль» (личный кабинет) — сведения об учётной записи.</w:t>
      </w:r>
    </w:p>
    <w:p>
      <w:pPr>
        <w:pStyle w:val="FirstParagraph"/>
      </w:pPr>
      <w:r>
        <w:t xml:space="preserve">Разделы, на которые у пользователя отсутствуют права, в меню не отображаются.</w:t>
      </w:r>
    </w:p>
    <w:p>
      <w:r>
        <w:pict>
          <v:rect style="width:0;height:1.5pt" o:hralign="center" o:hrstd="t" o:hr="t"/>
        </w:pict>
      </w:r>
    </w:p>
    <w:bookmarkEnd w:id="28"/>
    <w:bookmarkEnd w:id="29"/>
    <w:bookmarkStart w:id="34" w:name="выполнение-поиска-по-реестрам"/>
    <w:p>
      <w:pPr>
        <w:pStyle w:val="Heading2"/>
      </w:pPr>
      <w:r>
        <w:t xml:space="preserve">5. Выполнение поиска по реестрам</w:t>
      </w:r>
    </w:p>
    <w:bookmarkStart w:id="30" w:name="общий-порядок-поиска"/>
    <w:p>
      <w:pPr>
        <w:pStyle w:val="Heading3"/>
      </w:pPr>
      <w:r>
        <w:t xml:space="preserve">5.1. Общий порядок поиска</w:t>
      </w:r>
    </w:p>
    <w:p>
      <w:pPr>
        <w:pStyle w:val="Compact"/>
        <w:numPr>
          <w:ilvl w:val="0"/>
          <w:numId w:val="1011"/>
        </w:numPr>
      </w:pPr>
      <w:r>
        <w:t xml:space="preserve">В боковом меню выберите раздел «Поиск по реестрам» и нужный реестр (например, «Извещения»).</w:t>
      </w:r>
    </w:p>
    <w:p>
      <w:pPr>
        <w:pStyle w:val="Compact"/>
        <w:numPr>
          <w:ilvl w:val="0"/>
          <w:numId w:val="1011"/>
        </w:numPr>
      </w:pPr>
      <w:r>
        <w:t xml:space="preserve">В рабочей области отобразится форма поиска с полями и фильтрами, характерными для выбранного реестра.</w:t>
      </w:r>
    </w:p>
    <w:p>
      <w:pPr>
        <w:pStyle w:val="Compact"/>
        <w:numPr>
          <w:ilvl w:val="0"/>
          <w:numId w:val="1011"/>
        </w:numPr>
      </w:pPr>
      <w:r>
        <w:t xml:space="preserve">Введите поисковый запрос в строку полнотекстового поиска и (или) задайте значения атрибутивных полей (период, регион, заказчик, сумма, классификатор и т. д.).</w:t>
      </w:r>
    </w:p>
    <w:p>
      <w:pPr>
        <w:pStyle w:val="Compact"/>
        <w:numPr>
          <w:ilvl w:val="0"/>
          <w:numId w:val="1011"/>
        </w:numPr>
      </w:pPr>
      <w:r>
        <w:t xml:space="preserve">Нажмите кнопку «Найти» (или «Применить»).</w:t>
      </w:r>
    </w:p>
    <w:p>
      <w:pPr>
        <w:pStyle w:val="Compact"/>
        <w:numPr>
          <w:ilvl w:val="0"/>
          <w:numId w:val="1011"/>
        </w:numPr>
      </w:pPr>
      <w:r>
        <w:t xml:space="preserve">Система обращается к поисковой подсистеме (полнотекстовому индексу) и отображает список найденных записей с постраничной навигацией.</w:t>
      </w:r>
    </w:p>
    <w:bookmarkEnd w:id="30"/>
    <w:bookmarkStart w:id="31" w:name="работа-со-списком-результатов"/>
    <w:p>
      <w:pPr>
        <w:pStyle w:val="Heading3"/>
      </w:pPr>
      <w:r>
        <w:t xml:space="preserve">5.2. Работа со списком результатов</w:t>
      </w:r>
    </w:p>
    <w:p>
      <w:pPr>
        <w:pStyle w:val="Compact"/>
        <w:numPr>
          <w:ilvl w:val="0"/>
          <w:numId w:val="1012"/>
        </w:numPr>
      </w:pPr>
      <w:r>
        <w:t xml:space="preserve">Список результатов отображается в табличном виде; состав столбцов зависит от реестра.</w:t>
      </w:r>
    </w:p>
    <w:p>
      <w:pPr>
        <w:pStyle w:val="Compact"/>
        <w:numPr>
          <w:ilvl w:val="0"/>
          <w:numId w:val="1012"/>
        </w:numPr>
      </w:pPr>
      <w:r>
        <w:t xml:space="preserve">Сортировка выполняется нажатием на заголовок столбца.</w:t>
      </w:r>
    </w:p>
    <w:p>
      <w:pPr>
        <w:pStyle w:val="Compact"/>
        <w:numPr>
          <w:ilvl w:val="0"/>
          <w:numId w:val="1012"/>
        </w:numPr>
      </w:pPr>
      <w:r>
        <w:t xml:space="preserve">Постраничный просмотр (пагинация) расположен внизу списка; размер страницы выбирается из предложенных значений.</w:t>
      </w:r>
    </w:p>
    <w:p>
      <w:pPr>
        <w:pStyle w:val="Compact"/>
        <w:numPr>
          <w:ilvl w:val="0"/>
          <w:numId w:val="1012"/>
        </w:numPr>
      </w:pPr>
      <w:r>
        <w:t xml:space="preserve">Для просмотра подробных сведений по записи нажмите на строку — откроется карточка записи (например, карточка извещения с вкладками: документы, протоколы, связанные контракты, спецификация, комментарии).</w:t>
      </w:r>
    </w:p>
    <w:bookmarkEnd w:id="31"/>
    <w:bookmarkStart w:id="32" w:name="особенности-поиска-по-отдельным-реестрам"/>
    <w:p>
      <w:pPr>
        <w:pStyle w:val="Heading3"/>
      </w:pPr>
      <w:r>
        <w:t xml:space="preserve">5.3. Особенности поиска по отдельным реестрам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Реестр</w:t>
            </w:r>
          </w:p>
        </w:tc>
        <w:tc>
          <w:tcPr/>
          <w:p>
            <w:pPr>
              <w:pStyle w:val="Compact"/>
            </w:pPr>
            <w:r>
              <w:t xml:space="preserve">Назначение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Извещения</w:t>
            </w:r>
          </w:p>
        </w:tc>
        <w:tc>
          <w:tcPr/>
          <w:p>
            <w:pPr>
              <w:pStyle w:val="Compact"/>
            </w:pPr>
            <w:r>
              <w:t xml:space="preserve">Поиск извещений о закупках по 44-ФЗ и 223-ФЗ с фильтрами по этапу, заказчику, региону, сумме, классификатору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Контракты</w:t>
            </w:r>
          </w:p>
        </w:tc>
        <w:tc>
          <w:tcPr/>
          <w:p>
            <w:pPr>
              <w:pStyle w:val="Compact"/>
            </w:pPr>
            <w:r>
              <w:t xml:space="preserve">Поиск контрактов, связанных извещений, сведений о поставщиках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Объекты закупок</w:t>
            </w:r>
          </w:p>
        </w:tc>
        <w:tc>
          <w:tcPr/>
          <w:p>
            <w:pPr>
              <w:pStyle w:val="Compact"/>
            </w:pPr>
            <w:r>
              <w:t xml:space="preserve">Поиск по позициям закупок (объектам)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Спецификации (ТЗ)</w:t>
            </w:r>
          </w:p>
        </w:tc>
        <w:tc>
          <w:tcPr/>
          <w:p>
            <w:pPr>
              <w:pStyle w:val="Compact"/>
            </w:pPr>
            <w:r>
              <w:t xml:space="preserve">Поиск по позициям технического задания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Исполнение контрактов</w:t>
            </w:r>
          </w:p>
        </w:tc>
        <w:tc>
          <w:tcPr/>
          <w:p>
            <w:pPr>
              <w:pStyle w:val="Compact"/>
            </w:pPr>
            <w:r>
              <w:t xml:space="preserve">Поиск по сведениям об оплатах и поставках</w:t>
            </w:r>
          </w:p>
        </w:tc>
      </w:tr>
    </w:tbl>
    <w:bookmarkEnd w:id="32"/>
    <w:bookmarkStart w:id="33" w:name="Xaf195c27f449af4ceab9a5dd54865f4490d151c"/>
    <w:p>
      <w:pPr>
        <w:pStyle w:val="Heading3"/>
      </w:pPr>
      <w:r>
        <w:t xml:space="preserve">5.4. Поведение при недоступности поисковой подсистемы</w:t>
      </w:r>
    </w:p>
    <w:p>
      <w:pPr>
        <w:pStyle w:val="FirstParagraph"/>
      </w:pPr>
      <w:r>
        <w:t xml:space="preserve">Если поисковая подсистема (полнотекстовый индекс) временно недоступна, Система выводит уведомление о невозможности выполнить поиск и рекомендует повторить операцию позднее; иные функции, не зависящие от поиска, остаются доступными. Подробнее — в разделе 13 (для администратора).</w:t>
      </w:r>
    </w:p>
    <w:p>
      <w:r>
        <w:pict>
          <v:rect style="width:0;height:1.5pt" o:hralign="center" o:hrstd="t" o:hr="t"/>
        </w:pict>
      </w:r>
    </w:p>
    <w:bookmarkEnd w:id="33"/>
    <w:bookmarkEnd w:id="34"/>
    <w:bookmarkStart w:id="39" w:name="X9e7eafa1363faca69f29a60a056f9d70050a62a"/>
    <w:p>
      <w:pPr>
        <w:pStyle w:val="Heading2"/>
      </w:pPr>
      <w:r>
        <w:t xml:space="preserve">6. Применение и сохранение фильтров (конструктор)</w:t>
      </w:r>
    </w:p>
    <w:bookmarkStart w:id="35" w:name="назначение-конструктора-фильтров"/>
    <w:p>
      <w:pPr>
        <w:pStyle w:val="Heading3"/>
      </w:pPr>
      <w:r>
        <w:t xml:space="preserve">6.1. Назначение конструктора фильтров</w:t>
      </w:r>
    </w:p>
    <w:p>
      <w:pPr>
        <w:pStyle w:val="FirstParagraph"/>
      </w:pPr>
      <w:r>
        <w:t xml:space="preserve">Конструктор фильтров позволяет формировать сложные условия поиска из набора правил, объединять их в группы с логическими операторами, сохранять под именем и повторно применять, а также использовать как основу для рассылок уведомлений.</w:t>
      </w:r>
    </w:p>
    <w:bookmarkEnd w:id="35"/>
    <w:bookmarkStart w:id="36" w:name="создание-фильтра"/>
    <w:p>
      <w:pPr>
        <w:pStyle w:val="Heading3"/>
      </w:pPr>
      <w:r>
        <w:t xml:space="preserve">6.2. Создание фильтра</w:t>
      </w:r>
    </w:p>
    <w:p>
      <w:pPr>
        <w:pStyle w:val="Compact"/>
        <w:numPr>
          <w:ilvl w:val="0"/>
          <w:numId w:val="1013"/>
        </w:numPr>
      </w:pPr>
      <w:r>
        <w:t xml:space="preserve">В форме поиска нажмите «Конструктор фильтров» (или «Добавить условие»).</w:t>
      </w:r>
    </w:p>
    <w:p>
      <w:pPr>
        <w:pStyle w:val="Compact"/>
        <w:numPr>
          <w:ilvl w:val="0"/>
          <w:numId w:val="1013"/>
        </w:numPr>
      </w:pPr>
      <w:r>
        <w:t xml:space="preserve">Выберите поле (атрибут реестра), оператор сравнения (равно, содержит, больше, меньше, в диапазоне, входит в список и т. п.) и значение.</w:t>
      </w:r>
    </w:p>
    <w:p>
      <w:pPr>
        <w:pStyle w:val="Compact"/>
        <w:numPr>
          <w:ilvl w:val="0"/>
          <w:numId w:val="1013"/>
        </w:numPr>
      </w:pPr>
      <w:r>
        <w:t xml:space="preserve">При необходимости добавьте дополнительные условия и объедините их в группы с операторами «И» / «ИЛИ».</w:t>
      </w:r>
    </w:p>
    <w:p>
      <w:pPr>
        <w:pStyle w:val="Compact"/>
        <w:numPr>
          <w:ilvl w:val="0"/>
          <w:numId w:val="1013"/>
        </w:numPr>
      </w:pPr>
      <w:r>
        <w:t xml:space="preserve">Нажмите «Применить», чтобы увидеть результаты по заданным условиям.</w:t>
      </w:r>
    </w:p>
    <w:bookmarkEnd w:id="36"/>
    <w:bookmarkStart w:id="37" w:name="сохранение-фильтра"/>
    <w:p>
      <w:pPr>
        <w:pStyle w:val="Heading3"/>
      </w:pPr>
      <w:r>
        <w:t xml:space="preserve">6.3. Сохранение фильтра</w:t>
      </w:r>
    </w:p>
    <w:p>
      <w:pPr>
        <w:pStyle w:val="Compact"/>
        <w:numPr>
          <w:ilvl w:val="0"/>
          <w:numId w:val="1014"/>
        </w:numPr>
      </w:pPr>
      <w:r>
        <w:t xml:space="preserve">После настройки условий нажмите «Сохранить фильтр».</w:t>
      </w:r>
    </w:p>
    <w:p>
      <w:pPr>
        <w:pStyle w:val="Compact"/>
        <w:numPr>
          <w:ilvl w:val="0"/>
          <w:numId w:val="1014"/>
        </w:numPr>
      </w:pPr>
      <w:r>
        <w:t xml:space="preserve">Укажите наименование фильтра.</w:t>
      </w:r>
    </w:p>
    <w:p>
      <w:pPr>
        <w:pStyle w:val="Compact"/>
        <w:numPr>
          <w:ilvl w:val="0"/>
          <w:numId w:val="1014"/>
        </w:numPr>
      </w:pPr>
      <w:r>
        <w:t xml:space="preserve">Подтвердите сохранение. Фильтр станет доступен в разделе «Мои фильтры».</w:t>
      </w:r>
    </w:p>
    <w:bookmarkEnd w:id="37"/>
    <w:bookmarkStart w:id="38" w:name="управление-сохранёнными-фильтрами"/>
    <w:p>
      <w:pPr>
        <w:pStyle w:val="Heading3"/>
      </w:pPr>
      <w:r>
        <w:t xml:space="preserve">6.4. Управление сохранёнными фильтрами</w:t>
      </w:r>
    </w:p>
    <w:p>
      <w:pPr>
        <w:pStyle w:val="FirstParagraph"/>
      </w:pPr>
      <w:r>
        <w:t xml:space="preserve">В разделе «Мои фильтры» доступны операции: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Применить</w:t>
      </w:r>
      <w:r>
        <w:t xml:space="preserve"> </w:t>
      </w:r>
      <w:r>
        <w:t xml:space="preserve">— выполнить поиск по сохранённым условиям;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Переименовать</w:t>
      </w:r>
      <w:r>
        <w:t xml:space="preserve"> </w:t>
      </w:r>
      <w:r>
        <w:t xml:space="preserve">— изменить наименование фильтра;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Копировать</w:t>
      </w:r>
      <w:r>
        <w:t xml:space="preserve"> </w:t>
      </w:r>
      <w:r>
        <w:t xml:space="preserve">— создать копию фильтра для последующего изменения;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Очистить условия</w:t>
      </w:r>
      <w:r>
        <w:t xml:space="preserve"> </w:t>
      </w:r>
      <w:r>
        <w:t xml:space="preserve">— удалить все условия фильтра, сохранив сам фильтр;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Редактировать условия</w:t>
      </w:r>
      <w:r>
        <w:t xml:space="preserve"> </w:t>
      </w:r>
      <w:r>
        <w:t xml:space="preserve">— добавить/удалить отдельные условия или группы условий;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Удалить</w:t>
      </w:r>
      <w:r>
        <w:t xml:space="preserve"> </w:t>
      </w:r>
      <w:r>
        <w:t xml:space="preserve">— удалить фильтр.</w:t>
      </w:r>
    </w:p>
    <w:p>
      <w:r>
        <w:pict>
          <v:rect style="width:0;height:1.5pt" o:hralign="center" o:hrstd="t" o:hr="t"/>
        </w:pict>
      </w:r>
    </w:p>
    <w:bookmarkEnd w:id="38"/>
    <w:bookmarkEnd w:id="39"/>
    <w:bookmarkStart w:id="43" w:name="работа-со-справочниками"/>
    <w:p>
      <w:pPr>
        <w:pStyle w:val="Heading2"/>
      </w:pPr>
      <w:r>
        <w:t xml:space="preserve">7. Работа со справочниками</w:t>
      </w:r>
    </w:p>
    <w:bookmarkStart w:id="40" w:name="назначение"/>
    <w:p>
      <w:pPr>
        <w:pStyle w:val="Heading3"/>
      </w:pPr>
      <w:r>
        <w:t xml:space="preserve">7.1. Назначение</w:t>
      </w:r>
    </w:p>
    <w:p>
      <w:pPr>
        <w:pStyle w:val="FirstParagraph"/>
      </w:pPr>
      <w:r>
        <w:t xml:space="preserve">Справочники обеспечивают ввод корректных значений в условия поиска и фильтры за счёт выбора из предопределённых классификаторов. Использование справочников исключает ошибки ручного ввода и повышает точность поиска.</w:t>
      </w:r>
    </w:p>
    <w:bookmarkEnd w:id="40"/>
    <w:bookmarkStart w:id="41" w:name="доступные-справочники"/>
    <w:p>
      <w:pPr>
        <w:pStyle w:val="Heading3"/>
      </w:pPr>
      <w:r>
        <w:t xml:space="preserve">7.2. Доступные справочники</w:t>
      </w:r>
    </w:p>
    <w:p>
      <w:pPr>
        <w:pStyle w:val="FirstParagraph"/>
      </w:pPr>
      <w:r>
        <w:t xml:space="preserve">В состав Системы входят, в частности, справочники: разделы и отрасли, регионы и федеральные округа, заказчики, поставщики, производители, классификаторы продукции (ОКПД, ОКПД2, ОКДП, КТРУ), номенклатура, метки извещений и иные специализированные справочники.</w:t>
      </w:r>
    </w:p>
    <w:bookmarkEnd w:id="41"/>
    <w:bookmarkStart w:id="42" w:name="порядок-использования"/>
    <w:p>
      <w:pPr>
        <w:pStyle w:val="Heading3"/>
      </w:pPr>
      <w:r>
        <w:t xml:space="preserve">7.3. Порядок использования</w:t>
      </w:r>
    </w:p>
    <w:p>
      <w:pPr>
        <w:pStyle w:val="Compact"/>
        <w:numPr>
          <w:ilvl w:val="0"/>
          <w:numId w:val="1016"/>
        </w:numPr>
      </w:pPr>
      <w:r>
        <w:t xml:space="preserve">В поле условия фильтра, связанном со справочником, нажмите кнопку выбора (значок списка/лупы).</w:t>
      </w:r>
    </w:p>
    <w:p>
      <w:pPr>
        <w:pStyle w:val="Compact"/>
        <w:numPr>
          <w:ilvl w:val="0"/>
          <w:numId w:val="1016"/>
        </w:numPr>
      </w:pPr>
      <w:r>
        <w:t xml:space="preserve">В открывшемся окне справочника выполните поиск нужного значения по наименованию или коду.</w:t>
      </w:r>
    </w:p>
    <w:p>
      <w:pPr>
        <w:pStyle w:val="Compact"/>
        <w:numPr>
          <w:ilvl w:val="0"/>
          <w:numId w:val="1016"/>
        </w:numPr>
      </w:pPr>
      <w:r>
        <w:t xml:space="preserve">Отметьте одно или несколько значений и нажмите «Выбрать».</w:t>
      </w:r>
    </w:p>
    <w:p>
      <w:pPr>
        <w:pStyle w:val="Compact"/>
        <w:numPr>
          <w:ilvl w:val="0"/>
          <w:numId w:val="1016"/>
        </w:numPr>
      </w:pPr>
      <w:r>
        <w:t xml:space="preserve">Выбранные значения подставляются в условие фильтра.</w:t>
      </w:r>
    </w:p>
    <w:p>
      <w:r>
        <w:pict>
          <v:rect style="width:0;height:1.5pt" o:hralign="center" o:hrstd="t" o:hr="t"/>
        </w:pict>
      </w:r>
    </w:p>
    <w:bookmarkEnd w:id="42"/>
    <w:bookmarkEnd w:id="43"/>
    <w:bookmarkStart w:id="47" w:name="настройка-рассылок-уведомлений"/>
    <w:p>
      <w:pPr>
        <w:pStyle w:val="Heading2"/>
      </w:pPr>
      <w:r>
        <w:t xml:space="preserve">8. Настройка рассылок уведомлений</w:t>
      </w:r>
    </w:p>
    <w:bookmarkStart w:id="44" w:name="назначение-1"/>
    <w:p>
      <w:pPr>
        <w:pStyle w:val="Heading3"/>
      </w:pPr>
      <w:r>
        <w:t xml:space="preserve">8.1. Назначение</w:t>
      </w:r>
    </w:p>
    <w:p>
      <w:pPr>
        <w:pStyle w:val="FirstParagraph"/>
      </w:pPr>
      <w:r>
        <w:t xml:space="preserve">Рассылки обеспечивают автоматическое информирование пользователя о новых записях в реестрах, соответствующих сохранённому фильтру, без необходимости повторного ручного поиска.</w:t>
      </w:r>
    </w:p>
    <w:bookmarkEnd w:id="44"/>
    <w:bookmarkStart w:id="45" w:name="создание-рассылки"/>
    <w:p>
      <w:pPr>
        <w:pStyle w:val="Heading3"/>
      </w:pPr>
      <w:r>
        <w:t xml:space="preserve">8.2. Создание рассылки</w:t>
      </w:r>
    </w:p>
    <w:p>
      <w:pPr>
        <w:pStyle w:val="Compact"/>
        <w:numPr>
          <w:ilvl w:val="0"/>
          <w:numId w:val="1017"/>
        </w:numPr>
      </w:pPr>
      <w:r>
        <w:t xml:space="preserve">Перейдите в раздел «Рассылки».</w:t>
      </w:r>
    </w:p>
    <w:p>
      <w:pPr>
        <w:pStyle w:val="Compact"/>
        <w:numPr>
          <w:ilvl w:val="0"/>
          <w:numId w:val="1017"/>
        </w:numPr>
      </w:pPr>
      <w:r>
        <w:t xml:space="preserve">Нажмите «Создать рассылку».</w:t>
      </w:r>
    </w:p>
    <w:p>
      <w:pPr>
        <w:pStyle w:val="Compact"/>
        <w:numPr>
          <w:ilvl w:val="0"/>
          <w:numId w:val="1017"/>
        </w:numPr>
      </w:pPr>
      <w:r>
        <w:t xml:space="preserve">Выберите сохранённый фильтр, на основе которого будет формироваться рассылка.</w:t>
      </w:r>
    </w:p>
    <w:p>
      <w:pPr>
        <w:pStyle w:val="Compact"/>
        <w:numPr>
          <w:ilvl w:val="0"/>
          <w:numId w:val="1017"/>
        </w:numPr>
      </w:pPr>
      <w:r>
        <w:t xml:space="preserve">Задайте параметры рассылки:</w:t>
      </w:r>
    </w:p>
    <w:p>
      <w:pPr>
        <w:pStyle w:val="Compact"/>
        <w:numPr>
          <w:ilvl w:val="1"/>
          <w:numId w:val="1018"/>
        </w:numPr>
      </w:pPr>
      <w:r>
        <w:t xml:space="preserve">периодичность (например, ежедневно либо еженедельно);</w:t>
      </w:r>
    </w:p>
    <w:p>
      <w:pPr>
        <w:pStyle w:val="Compact"/>
        <w:numPr>
          <w:ilvl w:val="1"/>
          <w:numId w:val="1018"/>
        </w:numPr>
      </w:pPr>
      <w:r>
        <w:t xml:space="preserve">канал доставки (электронная почта и (или) уведомления внутри Системы);</w:t>
      </w:r>
    </w:p>
    <w:p>
      <w:pPr>
        <w:pStyle w:val="Compact"/>
        <w:numPr>
          <w:ilvl w:val="1"/>
          <w:numId w:val="1018"/>
        </w:numPr>
      </w:pPr>
      <w:r>
        <w:t xml:space="preserve">адрес электронной почты получателя (по умолчанию — адрес учётной записи).</w:t>
      </w:r>
    </w:p>
    <w:p>
      <w:pPr>
        <w:pStyle w:val="Compact"/>
        <w:numPr>
          <w:ilvl w:val="0"/>
          <w:numId w:val="1017"/>
        </w:numPr>
      </w:pPr>
      <w:r>
        <w:t xml:space="preserve">Сохраните рассылку.</w:t>
      </w:r>
    </w:p>
    <w:bookmarkEnd w:id="45"/>
    <w:bookmarkStart w:id="46" w:name="управление-рассылками"/>
    <w:p>
      <w:pPr>
        <w:pStyle w:val="Heading3"/>
      </w:pPr>
      <w:r>
        <w:t xml:space="preserve">8.3. Управление рассылками</w:t>
      </w:r>
    </w:p>
    <w:p>
      <w:pPr>
        <w:pStyle w:val="FirstParagraph"/>
      </w:pPr>
      <w:r>
        <w:t xml:space="preserve">В разделе «Рассылки» доступны включение/выключение рассылки, изменение её параметров, просмотр истории отправок и удаление рассылки. Уведомления внутри Системы отображаются индикатором в верхней панели.</w:t>
      </w:r>
    </w:p>
    <w:p>
      <w:r>
        <w:pict>
          <v:rect style="width:0;height:1.5pt" o:hralign="center" o:hrstd="t" o:hr="t"/>
        </w:pict>
      </w:r>
    </w:p>
    <w:bookmarkEnd w:id="46"/>
    <w:bookmarkEnd w:id="47"/>
    <w:bookmarkStart w:id="50" w:name="экспорт-результатов-в-microsoft-excel"/>
    <w:p>
      <w:pPr>
        <w:pStyle w:val="Heading2"/>
      </w:pPr>
      <w:r>
        <w:t xml:space="preserve">9. Экспорт результатов в Microsoft Excel</w:t>
      </w:r>
    </w:p>
    <w:bookmarkStart w:id="48" w:name="назначение-2"/>
    <w:p>
      <w:pPr>
        <w:pStyle w:val="Heading3"/>
      </w:pPr>
      <w:r>
        <w:t xml:space="preserve">9.1. Назначение</w:t>
      </w:r>
    </w:p>
    <w:p>
      <w:pPr>
        <w:pStyle w:val="FirstParagraph"/>
      </w:pPr>
      <w:r>
        <w:t xml:space="preserve">Функция экспорта позволяет выгрузить результаты поиска в файл формата Microsoft Excel (.xlsx) для последующей обработки и хранения.</w:t>
      </w:r>
    </w:p>
    <w:bookmarkEnd w:id="48"/>
    <w:bookmarkStart w:id="49" w:name="порядок-экспорта"/>
    <w:p>
      <w:pPr>
        <w:pStyle w:val="Heading3"/>
      </w:pPr>
      <w:r>
        <w:t xml:space="preserve">9.2. Порядок экспорта</w:t>
      </w:r>
    </w:p>
    <w:p>
      <w:pPr>
        <w:pStyle w:val="Compact"/>
        <w:numPr>
          <w:ilvl w:val="0"/>
          <w:numId w:val="1019"/>
        </w:numPr>
      </w:pPr>
      <w:r>
        <w:t xml:space="preserve">Выполните поиск и при необходимости примените фильтр.</w:t>
      </w:r>
    </w:p>
    <w:p>
      <w:pPr>
        <w:pStyle w:val="Compact"/>
        <w:numPr>
          <w:ilvl w:val="0"/>
          <w:numId w:val="1019"/>
        </w:numPr>
      </w:pPr>
      <w:r>
        <w:t xml:space="preserve">Над списком результатов нажмите кнопку «Экспорт в Excel».</w:t>
      </w:r>
    </w:p>
    <w:p>
      <w:pPr>
        <w:pStyle w:val="Compact"/>
        <w:numPr>
          <w:ilvl w:val="0"/>
          <w:numId w:val="1019"/>
        </w:numPr>
      </w:pPr>
      <w:r>
        <w:t xml:space="preserve">При необходимости укажите состав выгружаемых столбцов и объём выгрузки (текущая страница либо весь результат — в пределах ограничений Системы).</w:t>
      </w:r>
    </w:p>
    <w:p>
      <w:pPr>
        <w:pStyle w:val="Compact"/>
        <w:numPr>
          <w:ilvl w:val="0"/>
          <w:numId w:val="1019"/>
        </w:numPr>
      </w:pPr>
      <w:r>
        <w:t xml:space="preserve">Подтвердите экспорт. Система сформирует файл .xlsx и предложит сохранить его на рабочее место.</w:t>
      </w:r>
    </w:p>
    <w:p>
      <w:pPr>
        <w:pStyle w:val="FirstParagraph"/>
      </w:pPr>
      <w:r>
        <w:t xml:space="preserve">При значительном объёме данных формирование файла может занять некоторое время; не закрывайте вкладку браузера до завершения выгрузки.</w:t>
      </w:r>
    </w:p>
    <w:p>
      <w:r>
        <w:pict>
          <v:rect style="width:0;height:1.5pt" o:hralign="center" o:hrstd="t" o:hr="t"/>
        </w:pict>
      </w:r>
    </w:p>
    <w:bookmarkEnd w:id="49"/>
    <w:bookmarkEnd w:id="50"/>
    <w:bookmarkStart w:id="53" w:name="личный-кабинет-и-профиль-пользователя"/>
    <w:p>
      <w:pPr>
        <w:pStyle w:val="Heading2"/>
      </w:pPr>
      <w:r>
        <w:t xml:space="preserve">10. Личный кабинет и профиль пользователя</w:t>
      </w:r>
    </w:p>
    <w:bookmarkStart w:id="51" w:name="сведения-учётной-записи"/>
    <w:p>
      <w:pPr>
        <w:pStyle w:val="Heading3"/>
      </w:pPr>
      <w:r>
        <w:t xml:space="preserve">10.1. Сведения учётной записи</w:t>
      </w:r>
    </w:p>
    <w:p>
      <w:pPr>
        <w:pStyle w:val="FirstParagraph"/>
      </w:pPr>
      <w:r>
        <w:t xml:space="preserve">В разделе «Профиль» (личный кабинет) пользователю доступны:</w:t>
      </w:r>
    </w:p>
    <w:p>
      <w:pPr>
        <w:pStyle w:val="Compact"/>
        <w:numPr>
          <w:ilvl w:val="0"/>
          <w:numId w:val="1020"/>
        </w:numPr>
      </w:pPr>
      <w:r>
        <w:t xml:space="preserve">просмотр сведений об учётной записи (имя пользователя, организация, адрес электронной почты);</w:t>
      </w:r>
    </w:p>
    <w:p>
      <w:pPr>
        <w:pStyle w:val="Compact"/>
        <w:numPr>
          <w:ilvl w:val="0"/>
          <w:numId w:val="1020"/>
        </w:numPr>
      </w:pPr>
      <w:r>
        <w:t xml:space="preserve">просмотр предоставленных прав доступа (доступные реестры и функции);</w:t>
      </w:r>
    </w:p>
    <w:p>
      <w:pPr>
        <w:pStyle w:val="Compact"/>
        <w:numPr>
          <w:ilvl w:val="0"/>
          <w:numId w:val="1020"/>
        </w:numPr>
      </w:pPr>
      <w:r>
        <w:t xml:space="preserve">изменение пароля (при наличии соответствующей функции);</w:t>
      </w:r>
    </w:p>
    <w:p>
      <w:pPr>
        <w:pStyle w:val="Compact"/>
        <w:numPr>
          <w:ilvl w:val="0"/>
          <w:numId w:val="1020"/>
        </w:numPr>
      </w:pPr>
      <w:r>
        <w:t xml:space="preserve">настройка личных параметров отображения и уведомлений.</w:t>
      </w:r>
    </w:p>
    <w:bookmarkEnd w:id="51"/>
    <w:bookmarkStart w:id="52" w:name="изменение-пароля"/>
    <w:p>
      <w:pPr>
        <w:pStyle w:val="Heading3"/>
      </w:pPr>
      <w:r>
        <w:t xml:space="preserve">10.2. Изменение пароля</w:t>
      </w:r>
    </w:p>
    <w:p>
      <w:pPr>
        <w:pStyle w:val="Compact"/>
        <w:numPr>
          <w:ilvl w:val="0"/>
          <w:numId w:val="1021"/>
        </w:numPr>
      </w:pPr>
      <w:r>
        <w:t xml:space="preserve">Откройте раздел «Профиль».</w:t>
      </w:r>
    </w:p>
    <w:p>
      <w:pPr>
        <w:pStyle w:val="Compact"/>
        <w:numPr>
          <w:ilvl w:val="0"/>
          <w:numId w:val="1021"/>
        </w:numPr>
      </w:pPr>
      <w:r>
        <w:t xml:space="preserve">Выберите пункт «Сменить пароль».</w:t>
      </w:r>
    </w:p>
    <w:p>
      <w:pPr>
        <w:pStyle w:val="Compact"/>
        <w:numPr>
          <w:ilvl w:val="0"/>
          <w:numId w:val="1021"/>
        </w:numPr>
      </w:pPr>
      <w:r>
        <w:t xml:space="preserve">Введите текущий пароль, затем дважды — новый пароль.</w:t>
      </w:r>
    </w:p>
    <w:p>
      <w:pPr>
        <w:pStyle w:val="Compact"/>
        <w:numPr>
          <w:ilvl w:val="0"/>
          <w:numId w:val="1021"/>
        </w:numPr>
      </w:pPr>
      <w:r>
        <w:t xml:space="preserve">Сохраните изменения. Рекомендуется использовать пароль длиной не менее 8 символов, содержащий буквы, цифры и специальные символы.</w:t>
      </w:r>
    </w:p>
    <w:p>
      <w:r>
        <w:pict>
          <v:rect style="width:0;height:1.5pt" o:hralign="center" o:hrstd="t" o:hr="t"/>
        </w:pict>
      </w:r>
    </w:p>
    <w:bookmarkEnd w:id="52"/>
    <w:bookmarkEnd w:id="53"/>
    <w:bookmarkEnd w:id="54"/>
    <w:bookmarkStart w:id="78" w:name="раздел-ii.-руководство-администратора"/>
    <w:p>
      <w:pPr>
        <w:pStyle w:val="Heading1"/>
      </w:pPr>
      <w:r>
        <w:t xml:space="preserve">РАЗДЕЛ II. РУКОВОДСТВО АДМИНИСТРАТОРА</w:t>
      </w:r>
    </w:p>
    <w:bookmarkStart w:id="58" w:name="управление-пользователями-и-доступом"/>
    <w:p>
      <w:pPr>
        <w:pStyle w:val="Heading2"/>
      </w:pPr>
      <w:r>
        <w:t xml:space="preserve">11. Управление пользователями и доступом</w:t>
      </w:r>
    </w:p>
    <w:bookmarkStart w:id="55" w:name="модель-прав-доступа-entitlements"/>
    <w:p>
      <w:pPr>
        <w:pStyle w:val="Heading3"/>
      </w:pPr>
      <w:r>
        <w:t xml:space="preserve">11.1. Модель прав доступа (entitlements)</w:t>
      </w:r>
    </w:p>
    <w:p>
      <w:pPr>
        <w:pStyle w:val="FirstParagraph"/>
      </w:pPr>
      <w:r>
        <w:t xml:space="preserve">Доступ пользователей к функциям и реестрам Системы определяется набором прав доступа (entitlements). Каждой учётной записи сопоставляется перечень разрешённых функциональных модулей и реестров; при отсутствии права соответствующий раздел не отображается в интерфейсе и недоступен через программный интерфейс.</w:t>
      </w:r>
    </w:p>
    <w:bookmarkEnd w:id="55"/>
    <w:bookmarkStart w:id="56" w:name="создание-и-сопровождение-учётных-записей"/>
    <w:p>
      <w:pPr>
        <w:pStyle w:val="Heading3"/>
      </w:pPr>
      <w:r>
        <w:t xml:space="preserve">11.2. Создание и сопровождение учётных записей</w:t>
      </w:r>
    </w:p>
    <w:p>
      <w:pPr>
        <w:pStyle w:val="FirstParagraph"/>
      </w:pPr>
      <w:r>
        <w:t xml:space="preserve">Действия администратора по управлению учётными записями:</w:t>
      </w:r>
    </w:p>
    <w:p>
      <w:pPr>
        <w:pStyle w:val="Compact"/>
        <w:numPr>
          <w:ilvl w:val="0"/>
          <w:numId w:val="1022"/>
        </w:numPr>
      </w:pPr>
      <w:r>
        <w:t xml:space="preserve">Создание учётной записи пользователя с указанием организации, логина и адреса электронной почты.</w:t>
      </w:r>
    </w:p>
    <w:p>
      <w:pPr>
        <w:pStyle w:val="Compact"/>
        <w:numPr>
          <w:ilvl w:val="0"/>
          <w:numId w:val="1022"/>
        </w:numPr>
      </w:pPr>
      <w:r>
        <w:t xml:space="preserve">Назначение прав доступа (entitlements) — выбор доступных реестров и функций.</w:t>
      </w:r>
    </w:p>
    <w:p>
      <w:pPr>
        <w:pStyle w:val="Compact"/>
        <w:numPr>
          <w:ilvl w:val="0"/>
          <w:numId w:val="1022"/>
        </w:numPr>
      </w:pPr>
      <w:r>
        <w:t xml:space="preserve">Установка/сброс пароля, временная блокировка и разблокировка учётной записи.</w:t>
      </w:r>
    </w:p>
    <w:p>
      <w:pPr>
        <w:pStyle w:val="Compact"/>
        <w:numPr>
          <w:ilvl w:val="0"/>
          <w:numId w:val="1022"/>
        </w:numPr>
      </w:pPr>
      <w:r>
        <w:t xml:space="preserve">Изменение состава прав при изменении тарифа/подписки организации.</w:t>
      </w:r>
    </w:p>
    <w:p>
      <w:pPr>
        <w:pStyle w:val="Compact"/>
        <w:numPr>
          <w:ilvl w:val="0"/>
          <w:numId w:val="1022"/>
        </w:numPr>
      </w:pPr>
      <w:r>
        <w:t xml:space="preserve">Деактивация (отключение) учётной записи при прекращении доступа.</w:t>
      </w:r>
    </w:p>
    <w:p>
      <w:pPr>
        <w:pStyle w:val="FirstParagraph"/>
      </w:pPr>
      <w:r>
        <w:t xml:space="preserve">Конкретный порядок и состав административных операций определяются предоставленной администратору ролью и внутренними регламентами управления доступом ООО «Красофт».</w:t>
      </w:r>
    </w:p>
    <w:bookmarkEnd w:id="56"/>
    <w:bookmarkStart w:id="57" w:name="принципы-разграничения-доступа"/>
    <w:p>
      <w:pPr>
        <w:pStyle w:val="Heading3"/>
      </w:pPr>
      <w:r>
        <w:t xml:space="preserve">11.3. Принципы разграничения доступа</w:t>
      </w:r>
    </w:p>
    <w:p>
      <w:pPr>
        <w:pStyle w:val="Compact"/>
        <w:numPr>
          <w:ilvl w:val="0"/>
          <w:numId w:val="1023"/>
        </w:numPr>
      </w:pPr>
      <w:r>
        <w:t xml:space="preserve">Доступ предоставляется по принципу минимально необходимых прав.</w:t>
      </w:r>
    </w:p>
    <w:p>
      <w:pPr>
        <w:pStyle w:val="Compact"/>
        <w:numPr>
          <w:ilvl w:val="0"/>
          <w:numId w:val="1023"/>
        </w:numPr>
      </w:pPr>
      <w:r>
        <w:t xml:space="preserve">Аутентификация выполняется на основе маркеров JWT с ограниченным сроком действия.</w:t>
      </w:r>
    </w:p>
    <w:p>
      <w:pPr>
        <w:pStyle w:val="Compact"/>
        <w:numPr>
          <w:ilvl w:val="0"/>
          <w:numId w:val="1023"/>
        </w:numPr>
      </w:pPr>
      <w:r>
        <w:t xml:space="preserve">Передача учётных данных и маркеров осуществляется по защищённому соединению (HTTPS).</w:t>
      </w:r>
    </w:p>
    <w:p>
      <w:pPr>
        <w:pStyle w:val="Compact"/>
        <w:numPr>
          <w:ilvl w:val="0"/>
          <w:numId w:val="1023"/>
        </w:numPr>
      </w:pPr>
      <w:r>
        <w:t xml:space="preserve">Действия пользователей и администраторов подлежат журналированию. Состав журналируемых событий: вход и выход пользователей, ошибки приложения, обращения к программному интерфейсу (аудит доступа), запуск и остановка службы.</w:t>
      </w:r>
    </w:p>
    <w:p>
      <w:r>
        <w:pict>
          <v:rect style="width:0;height:1.5pt" o:hralign="center" o:hrstd="t" o:hr="t"/>
        </w:pict>
      </w:r>
    </w:p>
    <w:bookmarkEnd w:id="57"/>
    <w:bookmarkEnd w:id="58"/>
    <w:bookmarkStart w:id="62" w:name="X831603a8636458335761f8f9a2f68777ea86d62"/>
    <w:p>
      <w:pPr>
        <w:pStyle w:val="Heading2"/>
      </w:pPr>
      <w:r>
        <w:t xml:space="preserve">12. Мониторинг состояния Системы (health-checks)</w:t>
      </w:r>
    </w:p>
    <w:bookmarkStart w:id="59" w:name="назначение-3"/>
    <w:p>
      <w:pPr>
        <w:pStyle w:val="Heading3"/>
      </w:pPr>
      <w:r>
        <w:t xml:space="preserve">12.1. Назначение</w:t>
      </w:r>
    </w:p>
    <w:p>
      <w:pPr>
        <w:pStyle w:val="FirstParagraph"/>
      </w:pPr>
      <w:r>
        <w:t xml:space="preserve">Для контроля работоспособности компонентов Системы предусмотрены проверки состояния (health-checks), позволяющие администратору оперативно выявлять отказы СУБД, поисковой подсистемы и иных зависимостей.</w:t>
      </w:r>
    </w:p>
    <w:bookmarkEnd w:id="59"/>
    <w:bookmarkStart w:id="60" w:name="проверка-работоспособности"/>
    <w:p>
      <w:pPr>
        <w:pStyle w:val="Heading3"/>
      </w:pPr>
      <w:r>
        <w:t xml:space="preserve">12.2. Проверка работоспособности</w:t>
      </w:r>
    </w:p>
    <w:p>
      <w:pPr>
        <w:pStyle w:val="Compact"/>
        <w:numPr>
          <w:ilvl w:val="0"/>
          <w:numId w:val="1024"/>
        </w:numPr>
      </w:pPr>
      <w:r>
        <w:t xml:space="preserve">Серверная часть предоставляет служебные эндпойнты проверки состояния:</w:t>
      </w:r>
      <w:r>
        <w:t xml:space="preserve"> </w:t>
      </w:r>
      <w:r>
        <w:rPr>
          <w:rStyle w:val="VerbatimChar"/>
        </w:rPr>
        <w:t xml:space="preserve">/health/live</w:t>
      </w:r>
      <w:r>
        <w:t xml:space="preserve"> </w:t>
      </w:r>
      <w:r>
        <w:t xml:space="preserve">(проверка живучести процесса) и</w:t>
      </w:r>
      <w:r>
        <w:t xml:space="preserve"> </w:t>
      </w:r>
      <w:r>
        <w:rPr>
          <w:rStyle w:val="VerbatimChar"/>
        </w:rPr>
        <w:t xml:space="preserve">/health/ready</w:t>
      </w:r>
      <w:r>
        <w:t xml:space="preserve"> </w:t>
      </w:r>
      <w:r>
        <w:t xml:space="preserve">(готовность с проверкой зависимостей — реляционной СУБД и поисковой подсистемы).</w:t>
      </w:r>
    </w:p>
    <w:p>
      <w:pPr>
        <w:pStyle w:val="Compact"/>
        <w:numPr>
          <w:ilvl w:val="0"/>
          <w:numId w:val="1024"/>
        </w:numPr>
      </w:pPr>
      <w:r>
        <w:t xml:space="preserve">Ответ содержит сводный статус Системы и статусы её зависимостей: доступность реляционной СУБД, доступность поисковой подсистемы (полнотекстового индекса) и иных проверяемых компонентов.</w:t>
      </w:r>
    </w:p>
    <w:p>
      <w:pPr>
        <w:pStyle w:val="Compact"/>
        <w:numPr>
          <w:ilvl w:val="0"/>
          <w:numId w:val="1024"/>
        </w:numPr>
      </w:pPr>
      <w:r>
        <w:t xml:space="preserve">Состояние «healthy» означает штатную работу; «degraded» — частичную деградацию (доступны не все функции); «unhealthy» — неработоспособность критичных компонентов.</w:t>
      </w:r>
    </w:p>
    <w:bookmarkEnd w:id="60"/>
    <w:bookmarkStart w:id="61" w:name="контроль-на-уровне-инфраструктуры"/>
    <w:p>
      <w:pPr>
        <w:pStyle w:val="Heading3"/>
      </w:pPr>
      <w:r>
        <w:t xml:space="preserve">12.3. Контроль на уровне инфраструктуры</w:t>
      </w:r>
    </w:p>
    <w:p>
      <w:pPr>
        <w:pStyle w:val="Compact"/>
        <w:numPr>
          <w:ilvl w:val="0"/>
          <w:numId w:val="1025"/>
        </w:numPr>
      </w:pPr>
      <w:r>
        <w:t xml:space="preserve">Статус системных служб серверной части контролируется средствами systemd (</w:t>
      </w:r>
      <w:r>
        <w:rPr>
          <w:rStyle w:val="VerbatimChar"/>
        </w:rPr>
        <w:t xml:space="preserve">systemctl status &lt;имя-службы&gt;</w:t>
      </w:r>
      <w:r>
        <w:t xml:space="preserve">).</w:t>
      </w:r>
    </w:p>
    <w:p>
      <w:pPr>
        <w:pStyle w:val="Compact"/>
        <w:numPr>
          <w:ilvl w:val="0"/>
          <w:numId w:val="1025"/>
        </w:numPr>
      </w:pPr>
      <w:r>
        <w:t xml:space="preserve">Журналы служб доступны через</w:t>
      </w:r>
      <w:r>
        <w:t xml:space="preserve"> </w:t>
      </w:r>
      <w:r>
        <w:rPr>
          <w:rStyle w:val="VerbatimChar"/>
        </w:rPr>
        <w:t xml:space="preserve">journalctl -u &lt;имя-службы&gt;</w:t>
      </w:r>
      <w:r>
        <w:t xml:space="preserve">.</w:t>
      </w:r>
    </w:p>
    <w:p>
      <w:pPr>
        <w:pStyle w:val="Compact"/>
        <w:numPr>
          <w:ilvl w:val="0"/>
          <w:numId w:val="1025"/>
        </w:numPr>
      </w:pPr>
      <w:r>
        <w:t xml:space="preserve">Доступность через обратный прокси nginx и корректность маршрутизации проверяются по журналам nginx (</w:t>
      </w:r>
      <w:r>
        <w:rPr>
          <w:rStyle w:val="VerbatimChar"/>
        </w:rPr>
        <w:t xml:space="preserve">/var/log/nginx/</w:t>
      </w:r>
      <w:r>
        <w:t xml:space="preserve">).</w:t>
      </w:r>
    </w:p>
    <w:p>
      <w:pPr>
        <w:pStyle w:val="Compact"/>
        <w:numPr>
          <w:ilvl w:val="0"/>
          <w:numId w:val="1025"/>
        </w:numPr>
      </w:pPr>
      <w:r>
        <w:t xml:space="preserve">Рекомендуется настроить внешний мониторинг доступности (периодический опрос health-эндпойнта) и оповещение ответственных лиц при отказах.</w:t>
      </w:r>
    </w:p>
    <w:p>
      <w:r>
        <w:pict>
          <v:rect style="width:0;height:1.5pt" o:hralign="center" o:hrstd="t" o:hr="t"/>
        </w:pict>
      </w:r>
    </w:p>
    <w:bookmarkEnd w:id="61"/>
    <w:bookmarkEnd w:id="62"/>
    <w:bookmarkStart w:id="66" w:name="действия-при-типовых-проблемах"/>
    <w:p>
      <w:pPr>
        <w:pStyle w:val="Heading2"/>
      </w:pPr>
      <w:r>
        <w:t xml:space="preserve">13. Действия при типовых проблемах</w:t>
      </w:r>
    </w:p>
    <w:bookmarkStart w:id="63" w:name="недоступна-субд"/>
    <w:p>
      <w:pPr>
        <w:pStyle w:val="Heading3"/>
      </w:pPr>
      <w:r>
        <w:t xml:space="preserve">13.1. Недоступна СУБД</w:t>
      </w:r>
    </w:p>
    <w:p>
      <w:pPr>
        <w:pStyle w:val="FirstParagraph"/>
      </w:pPr>
      <w:r>
        <w:rPr>
          <w:b/>
          <w:bCs/>
        </w:rPr>
        <w:t xml:space="preserve">Признаки:</w:t>
      </w:r>
      <w:r>
        <w:t xml:space="preserve"> </w:t>
      </w:r>
      <w:r>
        <w:t xml:space="preserve">health-check возвращает статус компонента СУБД как недоступный; операции, требующие чтения/записи реляционных данных (авторизация, работа с фильтрами, рассылками, справочниками), завершаются ошибкой.</w:t>
      </w:r>
    </w:p>
    <w:p>
      <w:pPr>
        <w:pStyle w:val="BodyText"/>
      </w:pPr>
      <w:r>
        <w:rPr>
          <w:b/>
          <w:bCs/>
        </w:rPr>
        <w:t xml:space="preserve">Поведение Системы:</w:t>
      </w:r>
      <w:r>
        <w:t xml:space="preserve"> </w:t>
      </w:r>
      <w:r>
        <w:t xml:space="preserve">при недоступности СУБД операции, зависящие от неё, недоступны; Система выводит пользователю сообщение о временной недоступности сервиса и не допускает потери введённых данных за счёт обработки ошибок. Поиск, обслуживаемый поисковой подсистемой, может оставаться частично доступным, если не требует обращения к СУБД.</w:t>
      </w:r>
    </w:p>
    <w:p>
      <w:pPr>
        <w:pStyle w:val="BodyText"/>
      </w:pPr>
      <w:r>
        <w:rPr>
          <w:b/>
          <w:bCs/>
        </w:rPr>
        <w:t xml:space="preserve">Действия администратора:</w:t>
      </w:r>
      <w:r>
        <w:t xml:space="preserve"> </w:t>
      </w:r>
      <w:r>
        <w:t xml:space="preserve">1. Проверить доступность сервера СУБД и сетевую связность с ним.</w:t>
      </w:r>
      <w:r>
        <w:t xml:space="preserve"> </w:t>
      </w:r>
      <w:r>
        <w:t xml:space="preserve">2. Проверить состояние службы СУБД (используемого провайдера) и наличие свободного дискового пространства.</w:t>
      </w:r>
      <w:r>
        <w:t xml:space="preserve"> </w:t>
      </w:r>
      <w:r>
        <w:t xml:space="preserve">3. Проверить параметры строки подключения серверной части (задаются переменными окружения службы; systemd EnvironmentFile:</w:t>
      </w:r>
      <w:r>
        <w:t xml:space="preserve"> </w:t>
      </w:r>
      <w:r>
        <w:rPr>
          <w:rStyle w:val="VerbatimChar"/>
        </w:rPr>
        <w:t xml:space="preserve">/srv/apps/krasoftsearch-api/krasoftsearch-api.env</w:t>
      </w:r>
      <w:r>
        <w:t xml:space="preserve">).</w:t>
      </w:r>
      <w:r>
        <w:t xml:space="preserve"> </w:t>
      </w:r>
      <w:r>
        <w:t xml:space="preserve">4. После восстановления СУБД убедиться по health-check, что статус компонента вернулся в «healthy»; при необходимости перезапустить службы серверной части (</w:t>
      </w:r>
      <w:r>
        <w:rPr>
          <w:rStyle w:val="VerbatimChar"/>
        </w:rPr>
        <w:t xml:space="preserve">systemctl restart &lt;имя-службы&gt;</w:t>
      </w:r>
      <w:r>
        <w:t xml:space="preserve">).</w:t>
      </w:r>
    </w:p>
    <w:bookmarkEnd w:id="63"/>
    <w:bookmarkStart w:id="64" w:name="X6a8e7cb51e470cf176baf6868ddc2bc9ee9b177"/>
    <w:p>
      <w:pPr>
        <w:pStyle w:val="Heading3"/>
      </w:pPr>
      <w:r>
        <w:t xml:space="preserve">13.2. Недоступна поисковая подсистема (полнотекстовый индекс)</w:t>
      </w:r>
    </w:p>
    <w:p>
      <w:pPr>
        <w:pStyle w:val="FirstParagraph"/>
      </w:pPr>
      <w:r>
        <w:rPr>
          <w:b/>
          <w:bCs/>
        </w:rPr>
        <w:t xml:space="preserve">Признаки:</w:t>
      </w:r>
      <w:r>
        <w:t xml:space="preserve"> </w:t>
      </w:r>
      <w:r>
        <w:t xml:space="preserve">health-check возвращает статус компонента поисковой подсистемы как недоступный; операции поиска по реестрам завершаются ошибкой.</w:t>
      </w:r>
    </w:p>
    <w:p>
      <w:pPr>
        <w:pStyle w:val="BodyText"/>
      </w:pPr>
      <w:r>
        <w:rPr>
          <w:b/>
          <w:bCs/>
        </w:rPr>
        <w:t xml:space="preserve">Поведение Системы:</w:t>
      </w:r>
      <w:r>
        <w:t xml:space="preserve"> </w:t>
      </w:r>
      <w:r>
        <w:t xml:space="preserve">при недоступности поисковой подсистемы функции поиска по реестрам недоступны; Система выводит уведомление о невозможности выполнить поиск и предлагает повторить операцию позднее. Функции, не зависящие от поиска (авторизация, личный кабинет, просмотр справочников, обслуживаемых СУБД), остаются доступными.</w:t>
      </w:r>
    </w:p>
    <w:p>
      <w:pPr>
        <w:pStyle w:val="BodyText"/>
      </w:pPr>
      <w:r>
        <w:rPr>
          <w:b/>
          <w:bCs/>
        </w:rPr>
        <w:t xml:space="preserve">Действия администратора:</w:t>
      </w:r>
      <w:r>
        <w:t xml:space="preserve"> </w:t>
      </w:r>
      <w:r>
        <w:t xml:space="preserve">1. Проверить доступность узла(ов) внешней поисковой подсистемы и состояние её кластера.</w:t>
      </w:r>
      <w:r>
        <w:t xml:space="preserve"> </w:t>
      </w:r>
      <w:r>
        <w:t xml:space="preserve">2. Проверить наличие свободного дискового пространства на узлах поисковой подсистемы.</w:t>
      </w:r>
      <w:r>
        <w:t xml:space="preserve"> </w:t>
      </w:r>
      <w:r>
        <w:t xml:space="preserve">3. При необходимости перезапустить службу поисковой подсистемы и дождаться восстановления (recovery) индексов.</w:t>
      </w:r>
      <w:r>
        <w:t xml:space="preserve"> </w:t>
      </w:r>
      <w:r>
        <w:t xml:space="preserve">4. После восстановления убедиться по health-check, что статус компонента вернулся в «healthy».</w:t>
      </w:r>
    </w:p>
    <w:bookmarkEnd w:id="64"/>
    <w:bookmarkStart w:id="65" w:name="иные-типовые-проблемы"/>
    <w:p>
      <w:pPr>
        <w:pStyle w:val="Heading3"/>
      </w:pPr>
      <w:r>
        <w:t xml:space="preserve">13.3. Иные типовые проблемы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Проблема</w:t>
            </w:r>
          </w:p>
        </w:tc>
        <w:tc>
          <w:tcPr/>
          <w:p>
            <w:pPr>
              <w:pStyle w:val="Compact"/>
            </w:pPr>
            <w:r>
              <w:t xml:space="preserve">Рекомендуемые действия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Пользователь не может авторизоваться</w:t>
            </w:r>
          </w:p>
        </w:tc>
        <w:tc>
          <w:tcPr/>
          <w:p>
            <w:pPr>
              <w:pStyle w:val="Compact"/>
            </w:pPr>
            <w:r>
              <w:t xml:space="preserve">Проверить корректность учётных данных, статус учётной записи (не заблокирована), доступность СУБД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отображается раздел/реестр</w:t>
            </w:r>
          </w:p>
        </w:tc>
        <w:tc>
          <w:tcPr/>
          <w:p>
            <w:pPr>
              <w:pStyle w:val="Compact"/>
            </w:pPr>
            <w:r>
              <w:t xml:space="preserve">Проверить права доступа (entitlements) учётной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приходят рассылки</w:t>
            </w:r>
          </w:p>
        </w:tc>
        <w:tc>
          <w:tcPr/>
          <w:p>
            <w:pPr>
              <w:pStyle w:val="Compact"/>
            </w:pPr>
            <w:r>
              <w:t xml:space="preserve">Проверить активность рассылки, корректность адреса электронной почты, работоспособность почтового сервиса (внешний SMTP-сервер, параметры задаются переменными окружения службы)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экспорта в Excel</w:t>
            </w:r>
          </w:p>
        </w:tc>
        <w:tc>
          <w:tcPr/>
          <w:p>
            <w:pPr>
              <w:pStyle w:val="Compact"/>
            </w:pPr>
            <w:r>
              <w:t xml:space="preserve">Уменьшить объём выгрузки; повторить операцию; проверить журналы серверной части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Недоступен сайт целиком</w:t>
            </w:r>
          </w:p>
        </w:tc>
        <w:tc>
          <w:tcPr/>
          <w:p>
            <w:pPr>
              <w:pStyle w:val="Compact"/>
            </w:pPr>
            <w:r>
              <w:t xml:space="preserve">Проверить состояние nginx и служб серверной части, действительность TLS-сертификата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65"/>
    <w:bookmarkEnd w:id="66"/>
    <w:bookmarkStart w:id="69" w:name="X7e39e51721b7e3b174e916f96607815a2d69fe2"/>
    <w:p>
      <w:pPr>
        <w:pStyle w:val="Heading2"/>
      </w:pPr>
      <w:r>
        <w:t xml:space="preserve">14. Обновление экземпляра программного обеспечения</w:t>
      </w:r>
    </w:p>
    <w:bookmarkStart w:id="67" w:name="общие-принципы"/>
    <w:p>
      <w:pPr>
        <w:pStyle w:val="Heading3"/>
      </w:pPr>
      <w:r>
        <w:t xml:space="preserve">14.1. Общие принципы</w:t>
      </w:r>
    </w:p>
    <w:p>
      <w:pPr>
        <w:pStyle w:val="FirstParagraph"/>
      </w:pPr>
      <w:r>
        <w:t xml:space="preserve">Обновление ПО «КРАСОФТ Поиск» выполняется ООО «Красофт» либо уполномоченным администратором. Обновления распространяются и устанавливаются на территории Российской Федерации; принудительное обновление и управление Системой со стороны иностранных лиц отсутствуют. Информация об обновлениях ПО публикуется ООО «Красофт» в порядке, предусмотренном для эксплуатируемого экземпляра.</w:t>
      </w:r>
    </w:p>
    <w:bookmarkEnd w:id="67"/>
    <w:bookmarkStart w:id="68" w:name="порядок-обновления"/>
    <w:p>
      <w:pPr>
        <w:pStyle w:val="Heading3"/>
      </w:pPr>
      <w:r>
        <w:t xml:space="preserve">14.2. Порядок обновления</w:t>
      </w:r>
    </w:p>
    <w:p>
      <w:pPr>
        <w:pStyle w:val="Compact"/>
        <w:numPr>
          <w:ilvl w:val="0"/>
          <w:numId w:val="1026"/>
        </w:numPr>
      </w:pPr>
      <w:r>
        <w:t xml:space="preserve">Подготовить и проверить новую версию на предварительном (тестовом) контуре Правообладателя.</w:t>
      </w:r>
    </w:p>
    <w:p>
      <w:pPr>
        <w:pStyle w:val="Compact"/>
        <w:numPr>
          <w:ilvl w:val="0"/>
          <w:numId w:val="1026"/>
        </w:numPr>
      </w:pPr>
      <w:r>
        <w:t xml:space="preserve">Создать резервные копии данных (см. раздел 15) перед обновлением промышленного экземпляра.</w:t>
      </w:r>
    </w:p>
    <w:p>
      <w:pPr>
        <w:pStyle w:val="Compact"/>
        <w:numPr>
          <w:ilvl w:val="0"/>
          <w:numId w:val="1026"/>
        </w:numPr>
      </w:pPr>
      <w:r>
        <w:t xml:space="preserve">Развернуть новую версию серверной части (.NET (ASP.NET Core)) и клиентской части (Next.js) на промышленном сервере; при необходимости применить миграции схемы базы данных.</w:t>
      </w:r>
    </w:p>
    <w:p>
      <w:pPr>
        <w:pStyle w:val="Compact"/>
        <w:numPr>
          <w:ilvl w:val="0"/>
          <w:numId w:val="1026"/>
        </w:numPr>
      </w:pPr>
      <w:r>
        <w:t xml:space="preserve">Перезапустить системные службы средствами systemd.</w:t>
      </w:r>
    </w:p>
    <w:p>
      <w:pPr>
        <w:pStyle w:val="Compact"/>
        <w:numPr>
          <w:ilvl w:val="0"/>
          <w:numId w:val="1026"/>
        </w:numPr>
      </w:pPr>
      <w:r>
        <w:t xml:space="preserve">Выполнить проверку работоспособности по health-check (раздел 12) и контрольную проверку основных сценариев (вход, поиск, фильтры, рассылки, экспорт).</w:t>
      </w:r>
    </w:p>
    <w:p>
      <w:pPr>
        <w:pStyle w:val="Compact"/>
        <w:numPr>
          <w:ilvl w:val="0"/>
          <w:numId w:val="1026"/>
        </w:numPr>
      </w:pPr>
      <w:r>
        <w:t xml:space="preserve">При выявлении критических отклонений выполнить откат к предыдущей версии с восстановлением из резервной копии.</w:t>
      </w:r>
    </w:p>
    <w:p>
      <w:pPr>
        <w:pStyle w:val="FirstParagraph"/>
      </w:pPr>
      <w:r>
        <w:t xml:space="preserve">Подробный регламент развёртывания и используемые средства автоматизации описаны во внутренней эксплуатационной документации ООО «Красофт».</w:t>
      </w:r>
    </w:p>
    <w:p>
      <w:r>
        <w:pict>
          <v:rect style="width:0;height:1.5pt" o:hralign="center" o:hrstd="t" o:hr="t"/>
        </w:pict>
      </w:r>
    </w:p>
    <w:bookmarkEnd w:id="68"/>
    <w:bookmarkEnd w:id="69"/>
    <w:bookmarkStart w:id="74" w:name="X634ba3b3b0b5159467004aa4d481d8cc65dc1da"/>
    <w:p>
      <w:pPr>
        <w:pStyle w:val="Heading2"/>
      </w:pPr>
      <w:r>
        <w:t xml:space="preserve">15. Резервное копирование и восстановление данных</w:t>
      </w:r>
    </w:p>
    <w:bookmarkStart w:id="70" w:name="объекты-резервного-копирования"/>
    <w:p>
      <w:pPr>
        <w:pStyle w:val="Heading3"/>
      </w:pPr>
      <w:r>
        <w:t xml:space="preserve">15.1. Объекты резервного копирования</w:t>
      </w:r>
    </w:p>
    <w:p>
      <w:pPr>
        <w:pStyle w:val="Compact"/>
        <w:numPr>
          <w:ilvl w:val="0"/>
          <w:numId w:val="1027"/>
        </w:numPr>
      </w:pPr>
      <w:r>
        <w:t xml:space="preserve">Реляционные данные внешней СУБД (учётные записи, фильтры, рассылки, справочные данные).</w:t>
      </w:r>
    </w:p>
    <w:p>
      <w:pPr>
        <w:pStyle w:val="Compact"/>
        <w:numPr>
          <w:ilvl w:val="0"/>
          <w:numId w:val="1027"/>
        </w:numPr>
      </w:pPr>
      <w:r>
        <w:t xml:space="preserve">Индексы и данные поисковой подсистемы (полнотекстового индекса).</w:t>
      </w:r>
    </w:p>
    <w:p>
      <w:pPr>
        <w:pStyle w:val="Compact"/>
        <w:numPr>
          <w:ilvl w:val="0"/>
          <w:numId w:val="1027"/>
        </w:numPr>
      </w:pPr>
      <w:r>
        <w:t xml:space="preserve">Конфигурационные файлы серверной части, клиентской части и обратного прокси nginx.</w:t>
      </w:r>
    </w:p>
    <w:bookmarkEnd w:id="70"/>
    <w:bookmarkStart w:id="71" w:name="резервное-копирование-субд"/>
    <w:p>
      <w:pPr>
        <w:pStyle w:val="Heading3"/>
      </w:pPr>
      <w:r>
        <w:t xml:space="preserve">15.2. Резервное копирование СУБД</w:t>
      </w:r>
    </w:p>
    <w:p>
      <w:pPr>
        <w:pStyle w:val="Compact"/>
        <w:numPr>
          <w:ilvl w:val="0"/>
          <w:numId w:val="1028"/>
        </w:numPr>
      </w:pPr>
      <w:r>
        <w:t xml:space="preserve">Настроить регулярное резервное копирование баз данных штатными средствами используемой СУБД (PostgreSQL / Postgres Pro либо Microsoft SQL Server): резервная копия базы данных — ежедневно, полная копия — еженедельно.</w:t>
      </w:r>
    </w:p>
    <w:p>
      <w:pPr>
        <w:pStyle w:val="Compact"/>
        <w:numPr>
          <w:ilvl w:val="0"/>
          <w:numId w:val="1028"/>
        </w:numPr>
      </w:pPr>
      <w:r>
        <w:t xml:space="preserve">Хранить резервные копии в защищённом хранилище на территории Российской Федерации с контролем доступа; срок хранения резервных копий — 30 дней.</w:t>
      </w:r>
    </w:p>
    <w:p>
      <w:pPr>
        <w:pStyle w:val="Compact"/>
        <w:numPr>
          <w:ilvl w:val="0"/>
          <w:numId w:val="1028"/>
        </w:numPr>
      </w:pPr>
      <w:r>
        <w:t xml:space="preserve">Периодически проверять целостность копий и возможность восстановления (тестовое восстановление).</w:t>
      </w:r>
    </w:p>
    <w:bookmarkEnd w:id="71"/>
    <w:bookmarkStart w:id="72" w:name="Xbca24b11573c9a61cbbfb240c3ea0aff93db10a"/>
    <w:p>
      <w:pPr>
        <w:pStyle w:val="Heading3"/>
      </w:pPr>
      <w:r>
        <w:t xml:space="preserve">15.3. Резервное копирование поисковой подсистемы (полнотекстового индекса)</w:t>
      </w:r>
    </w:p>
    <w:p>
      <w:pPr>
        <w:pStyle w:val="Compact"/>
        <w:numPr>
          <w:ilvl w:val="0"/>
          <w:numId w:val="1029"/>
        </w:numPr>
      </w:pPr>
      <w:r>
        <w:t xml:space="preserve">Настроить снимки (snapshots) индексов поисковой подсистемы штатными средствами используемого провайдера в выделенный репозиторий по расписанию — еженедельно.</w:t>
      </w:r>
    </w:p>
    <w:p>
      <w:pPr>
        <w:pStyle w:val="Compact"/>
        <w:numPr>
          <w:ilvl w:val="0"/>
          <w:numId w:val="1029"/>
        </w:numPr>
      </w:pPr>
      <w:r>
        <w:t xml:space="preserve">При необходимости восстановления выполнить восстановление из снимка (restore) и дождаться завершения recovery.</w:t>
      </w:r>
    </w:p>
    <w:p>
      <w:pPr>
        <w:pStyle w:val="BlockText"/>
      </w:pPr>
      <w:r>
        <w:t xml:space="preserve">Примечание. При утрате или повреждении индексов поисковой подсистемы поисковые данные могут быть восстановлены как из снимков, так и путём повторной индексации из первичных данных (источник — реляционная СУБД) средствами подсистемы индексирования ООО «Красофт».</w:t>
      </w:r>
    </w:p>
    <w:bookmarkEnd w:id="72"/>
    <w:bookmarkStart w:id="73" w:name="восстановление"/>
    <w:p>
      <w:pPr>
        <w:pStyle w:val="Heading3"/>
      </w:pPr>
      <w:r>
        <w:t xml:space="preserve">15.4. Восстановление</w:t>
      </w:r>
    </w:p>
    <w:p>
      <w:pPr>
        <w:pStyle w:val="Compact"/>
        <w:numPr>
          <w:ilvl w:val="0"/>
          <w:numId w:val="1030"/>
        </w:numPr>
      </w:pPr>
      <w:r>
        <w:t xml:space="preserve">Определить объём утраты и точку восстановления.</w:t>
      </w:r>
    </w:p>
    <w:p>
      <w:pPr>
        <w:pStyle w:val="Compact"/>
        <w:numPr>
          <w:ilvl w:val="0"/>
          <w:numId w:val="1030"/>
        </w:numPr>
      </w:pPr>
      <w:r>
        <w:t xml:space="preserve">Восстановить базы данных СУБД из последней корректной резервной копии.</w:t>
      </w:r>
    </w:p>
    <w:p>
      <w:pPr>
        <w:pStyle w:val="Compact"/>
        <w:numPr>
          <w:ilvl w:val="0"/>
          <w:numId w:val="1030"/>
        </w:numPr>
      </w:pPr>
      <w:r>
        <w:t xml:space="preserve">Восстановить индексы поисковой подсистемы (полнотекстового индекса) из снимка либо инициировать повторную индексацию.</w:t>
      </w:r>
    </w:p>
    <w:p>
      <w:pPr>
        <w:pStyle w:val="Compact"/>
        <w:numPr>
          <w:ilvl w:val="0"/>
          <w:numId w:val="1030"/>
        </w:numPr>
      </w:pPr>
      <w:r>
        <w:t xml:space="preserve">Проверить работоспособность по health-check и контрольным сценариям.</w:t>
      </w:r>
    </w:p>
    <w:p>
      <w:pPr>
        <w:pStyle w:val="Compact"/>
        <w:numPr>
          <w:ilvl w:val="0"/>
          <w:numId w:val="1030"/>
        </w:numPr>
      </w:pPr>
      <w:r>
        <w:t xml:space="preserve">Зафиксировать факт инцидента и принятые меры во внутреннем журнале учёта инцидентов ООО «Красофт».</w:t>
      </w:r>
    </w:p>
    <w:p>
      <w:pPr>
        <w:pStyle w:val="FirstParagraph"/>
      </w:pPr>
      <w:r>
        <w:t xml:space="preserve">Целевые показатели восстановления: максимально допустимое время восстановления (RTO) — 4 часа; максимально допустимая точка восстановления (RPO) — 24 часа.</w:t>
      </w:r>
    </w:p>
    <w:p>
      <w:r>
        <w:pict>
          <v:rect style="width:0;height:1.5pt" o:hralign="center" o:hrstd="t" o:hr="t"/>
        </w:pict>
      </w:r>
    </w:p>
    <w:bookmarkEnd w:id="73"/>
    <w:bookmarkEnd w:id="74"/>
    <w:bookmarkStart w:id="75" w:name="Xfa400d48fbd041ffe4a7a5749a8fae69c14695a"/>
    <w:p>
      <w:pPr>
        <w:pStyle w:val="Heading2"/>
      </w:pPr>
      <w:r>
        <w:t xml:space="preserve">16. Информационная безопасность при эксплуатации</w:t>
      </w:r>
    </w:p>
    <w:p>
      <w:pPr>
        <w:pStyle w:val="Compact"/>
        <w:numPr>
          <w:ilvl w:val="0"/>
          <w:numId w:val="1031"/>
        </w:numPr>
      </w:pPr>
      <w:r>
        <w:t xml:space="preserve">Доступ к Системе осуществляется только по защищённому соединению (HTTPS) с действующим TLS-сертификатом.</w:t>
      </w:r>
    </w:p>
    <w:p>
      <w:pPr>
        <w:pStyle w:val="Compact"/>
        <w:numPr>
          <w:ilvl w:val="0"/>
          <w:numId w:val="1031"/>
        </w:numPr>
      </w:pPr>
      <w:r>
        <w:t xml:space="preserve">Аутентификация выполняется на основе маркеров JWT с ограниченным сроком действия.</w:t>
      </w:r>
    </w:p>
    <w:p>
      <w:pPr>
        <w:pStyle w:val="Compact"/>
        <w:numPr>
          <w:ilvl w:val="0"/>
          <w:numId w:val="1031"/>
        </w:numPr>
      </w:pPr>
      <w:r>
        <w:t xml:space="preserve">Обработка персональных данных осуществляется в соответствии с Федеральным законом от 27.07.2006 № 152-ФЗ «О персональных данных»; ООО «Красофт» включено в Реестр операторов, осуществляющих обработку персональных данных (Роскомнадзор), № 26-26-052889.</w:t>
      </w:r>
    </w:p>
    <w:p>
      <w:pPr>
        <w:pStyle w:val="Compact"/>
        <w:numPr>
          <w:ilvl w:val="0"/>
          <w:numId w:val="1031"/>
        </w:numPr>
      </w:pPr>
      <w:r>
        <w:t xml:space="preserve">Серверное оборудование и данные размещаются на территории Российской Федерации.</w:t>
      </w:r>
    </w:p>
    <w:p>
      <w:pPr>
        <w:pStyle w:val="Compact"/>
        <w:numPr>
          <w:ilvl w:val="0"/>
          <w:numId w:val="1031"/>
        </w:numPr>
      </w:pPr>
      <w:r>
        <w:t xml:space="preserve">Доступ к серверной инфраструктуре, СУБД и поисковой подсистеме предоставляется ограниченному кругу уполномоченных лиц с обязательным разграничением прав.</w:t>
      </w:r>
    </w:p>
    <w:p>
      <w:r>
        <w:pict>
          <v:rect style="width:0;height:1.5pt" o:hralign="center" o:hrstd="t" o:hr="t"/>
        </w:pict>
      </w:r>
    </w:p>
    <w:bookmarkEnd w:id="75"/>
    <w:bookmarkStart w:id="76" w:name="контакты-службы-технической-поддержки"/>
    <w:p>
      <w:pPr>
        <w:pStyle w:val="Heading2"/>
      </w:pPr>
      <w:r>
        <w:t xml:space="preserve">17. Контакты службы технической поддержки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Канал</w:t>
            </w:r>
          </w:p>
        </w:tc>
        <w:tc>
          <w:tcPr/>
          <w:p>
            <w:pPr>
              <w:pStyle w:val="Compact"/>
            </w:pPr>
            <w:r>
              <w:t xml:space="preserve">Реквизиты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Организация</w:t>
            </w:r>
          </w:p>
        </w:tc>
        <w:tc>
          <w:tcPr/>
          <w:p>
            <w:pPr>
              <w:pStyle w:val="Compact"/>
            </w:pPr>
            <w:r>
              <w:t xml:space="preserve">ООО «Красофт»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Электронная почта</w:t>
            </w:r>
          </w:p>
        </w:tc>
        <w:tc>
          <w:tcPr/>
          <w:p>
            <w:pPr>
              <w:pStyle w:val="Compact"/>
            </w:pPr>
            <w:r>
              <w:t xml:space="preserve">info@krasoft.ru</w:t>
            </w:r>
          </w:p>
        </w:tc>
      </w:tr>
      <w:tr>
        <w:tc>
          <w:tcPr/>
          <w:p>
            <w:pPr>
              <w:pStyle w:val="Compact"/>
            </w:pPr>
            <w:r>
              <w:t xml:space="preserve">Телефон</w:t>
            </w:r>
          </w:p>
        </w:tc>
        <w:tc>
          <w:tcPr/>
          <w:p>
            <w:pPr>
              <w:pStyle w:val="Compact"/>
            </w:pPr>
            <w:r>
              <w:t xml:space="preserve">+7 (495) 540-55-99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Режим работы поддержки</w:t>
            </w:r>
          </w:p>
        </w:tc>
        <w:tc>
          <w:tcPr/>
          <w:p>
            <w:pPr>
              <w:pStyle w:val="Compact"/>
            </w:pPr>
            <w:r>
              <w:t xml:space="preserve">Рабочие дни, 9:00–18:00 (по московскому времени)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Адрес для корреспонденции</w:t>
            </w:r>
          </w:p>
        </w:tc>
        <w:tc>
          <w:tcPr/>
          <w:p>
            <w:pPr>
              <w:pStyle w:val="Compact"/>
            </w:pPr>
            <w:r>
              <w:t xml:space="preserve">360001, Кабардино-Балкарская Республика, г. Нальчик, ул. Мечиева, зд. 207а, этаж 4</w:t>
            </w:r>
          </w:p>
        </w:tc>
      </w:tr>
    </w:tbl>
    <w:p>
      <w:pPr>
        <w:pStyle w:val="BodyText"/>
      </w:pPr>
      <w:r>
        <w:t xml:space="preserve">Время приёма обращений: рабочие дни, 9:00–18:00 (по московскому времени).</w:t>
      </w:r>
    </w:p>
    <w:p>
      <w:pPr>
        <w:pStyle w:val="BodyText"/>
      </w:pPr>
      <w:r>
        <w:t xml:space="preserve">Целевые сроки реакции и устранения обращений по уровням критичности: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Уровень критичности</w:t>
            </w:r>
          </w:p>
        </w:tc>
        <w:tc>
          <w:tcPr/>
          <w:p>
            <w:pPr>
              <w:pStyle w:val="Compact"/>
            </w:pPr>
            <w:r>
              <w:t xml:space="preserve">Срок реакции</w:t>
            </w:r>
          </w:p>
        </w:tc>
        <w:tc>
          <w:tcPr/>
          <w:p>
            <w:pPr>
              <w:pStyle w:val="Compact"/>
            </w:pPr>
            <w:r>
              <w:t xml:space="preserve">Срок устранения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Критический (Система неработоспособна)</w:t>
            </w:r>
          </w:p>
        </w:tc>
        <w:tc>
          <w:tcPr/>
          <w:p>
            <w:pPr>
              <w:pStyle w:val="Compact"/>
            </w:pPr>
            <w:r>
              <w:t xml:space="preserve">4 часа</w:t>
            </w:r>
          </w:p>
        </w:tc>
        <w:tc>
          <w:tcPr/>
          <w:p>
            <w:pPr>
              <w:pStyle w:val="Compact"/>
            </w:pPr>
            <w:r>
              <w:t xml:space="preserve">1 рабочий день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Высокий (нарушена работа ключевой функции)</w:t>
            </w:r>
          </w:p>
        </w:tc>
        <w:tc>
          <w:tcPr/>
          <w:p>
            <w:pPr>
              <w:pStyle w:val="Compact"/>
            </w:pPr>
            <w:r>
              <w:t xml:space="preserve">1 рабочий день</w:t>
            </w:r>
          </w:p>
        </w:tc>
        <w:tc>
          <w:tcPr/>
          <w:p>
            <w:pPr>
              <w:pStyle w:val="Compact"/>
            </w:pPr>
            <w:r>
              <w:t xml:space="preserve">3 рабочих дня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Средний (частные ограничения функциональности)</w:t>
            </w:r>
          </w:p>
        </w:tc>
        <w:tc>
          <w:tcPr/>
          <w:p>
            <w:pPr>
              <w:pStyle w:val="Compact"/>
            </w:pPr>
            <w:r>
              <w:t xml:space="preserve">3 рабочих дня</w:t>
            </w:r>
          </w:p>
        </w:tc>
        <w:tc>
          <w:tcPr/>
          <w:p>
            <w:pPr>
              <w:pStyle w:val="Compact"/>
            </w:pPr>
            <w:r>
              <w:t xml:space="preserve">в очередной версии ПО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Низкий (замечания, пожелания)</w:t>
            </w:r>
          </w:p>
        </w:tc>
        <w:tc>
          <w:tcPr/>
          <w:p>
            <w:pPr>
              <w:pStyle w:val="Compact"/>
            </w:pPr>
            <w:r>
              <w:t xml:space="preserve">по планированию</w:t>
            </w:r>
          </w:p>
        </w:tc>
        <w:tc>
          <w:tcPr/>
          <w:p>
            <w:pPr>
              <w:pStyle w:val="Compact"/>
            </w:pPr>
            <w:r>
              <w:t xml:space="preserve">в очередной версии ПО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76"/>
    <w:bookmarkStart w:id="77" w:name="заключительные-положения"/>
    <w:p>
      <w:pPr>
        <w:pStyle w:val="Heading2"/>
      </w:pPr>
      <w:r>
        <w:t xml:space="preserve">18. Заключительные положения</w:t>
      </w:r>
    </w:p>
    <w:p>
      <w:pPr>
        <w:pStyle w:val="FirstParagraph"/>
      </w:pPr>
      <w:r>
        <w:t xml:space="preserve">Настоящее Руководство является неотъемлемой частью документации, необходимой для эксплуатации программного обеспечения «КРАСОФТ Поиск», и подлежит актуализации при выпуске новых версий ПО. Документ составлен на русском языке. Программное обеспечение и документация не имеют ограничений на использование на всей территории Российской Федерации.</w:t>
      </w:r>
    </w:p>
    <w:bookmarkEnd w:id="77"/>
    <w:bookmarkEnd w:id="78"/>
    <w:sectPr w:rsidR="00FC693F" w:rsidRPr="0006063C" w:rsidSect="00034616">
      <w:pgSz w:h="15840" w:w="12240"/>
      <w:pgMar w:bottom="1138" w:footer="720" w:gutter="0" w:header="720" w:left="1699" w:right="850" w:top="1138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1"/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1"/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1"/>
  </w:num>
  <w:num w:numId="102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3">
    <w:abstractNumId w:val="991"/>
  </w:num>
  <w:num w:numId="102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5">
    <w:abstractNumId w:val="991"/>
  </w:num>
  <w:num w:numId="102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7">
    <w:abstractNumId w:val="991"/>
  </w:num>
  <w:num w:numId="102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rPr>
      <w:rFonts w:ascii="Times New Roman" w:cs="Times New Roman" w:eastAsia="Times New Roman" w:hAnsi="Times New Roman"/>
      <w:sz w:val="24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customStyle="1" w:styleId="SourceCode" w:type="paragraph">
    <w:name w:val="Source Code"/>
    <w:basedOn w:val="Normal"/>
    <w:link w:val="VerbatimChar"/>
    <w:pPr>
      <w:wordWrap w:val="off"/>
    </w:pPr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2026-07-07T16:16:09Z</dcterms:created>
  <dcterms:modified xsi:type="dcterms:W3CDTF">2026-07-07T16:16:09Z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