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X44cc28c1cde7a73f4427cef3deb789f962a4799"/>
    <w:p>
      <w:pPr>
        <w:pStyle w:val="Heading1"/>
      </w:pPr>
      <w:r>
        <w:t xml:space="preserve">РУКОВОДСТВО ПОЛЬЗОВАТЕЛЯ программного обеспечения «КРАСОФТ Поиск»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Общество с ограниченной ответственностью «Красофт» (ООО «Красофт»)</w:t>
      </w:r>
    </w:p>
    <w:p>
      <w:pPr>
        <w:pStyle w:val="BodyText"/>
      </w:pPr>
      <w:r>
        <w:t xml:space="preserve">ИНН: 9705142730 · ОГРН: 1207700109165 · КПП: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Телефон: +7 (495) 540-55-99 · E-mail: info@krasoft.ru</w:t>
      </w:r>
      <w:r>
        <w:t xml:space="preserve"> </w:t>
      </w:r>
      <w:r>
        <w:t xml:space="preserve">Регистрационный номер в реестре операторов, осуществляющих обработку персональных данных (Роскомнадзор): № 26-26-052889</w:t>
      </w:r>
    </w:p>
    <w:p>
      <w:pPr>
        <w:pStyle w:val="BodyText"/>
      </w:pPr>
      <w:r>
        <w:rPr>
          <w:b/>
          <w:bCs/>
        </w:rPr>
        <w:t xml:space="preserve">Версия документа:</w:t>
      </w:r>
      <w:r>
        <w:t xml:space="preserve"> </w:t>
      </w:r>
      <w:r>
        <w:t xml:space="preserve">1.0</w:t>
      </w:r>
      <w:r>
        <w:t xml:space="preserve"> </w:t>
      </w:r>
      <w:r>
        <w:rPr>
          <w:b/>
          <w:bCs/>
        </w:rPr>
        <w:t xml:space="preserve">Версия программного обеспечения:</w:t>
      </w:r>
      <w:r>
        <w:t xml:space="preserve"> </w:t>
      </w:r>
      <w:r>
        <w:t xml:space="preserve">1.0</w:t>
      </w:r>
    </w:p>
    <w:p>
      <w:r>
        <w:pict>
          <v:rect style="width:0;height:1.5pt" o:hralign="center" o:hrstd="t" o:hr="t"/>
        </w:pict>
      </w:r>
    </w:p>
    <w:bookmarkStart w:id="9" w:name="содержание"/>
    <w:p>
      <w:pPr>
        <w:pStyle w:val="Heading2"/>
      </w:pPr>
      <w:r>
        <w:t xml:space="preserve">Содержание</w:t>
      </w:r>
    </w:p>
    <w:p>
      <w:pPr>
        <w:pStyle w:val="Compact"/>
        <w:numPr>
          <w:ilvl w:val="0"/>
          <w:numId w:val="1001"/>
        </w:numPr>
      </w:pPr>
      <w:r>
        <w:t xml:space="preserve">Назначение и общие сведения</w:t>
      </w:r>
    </w:p>
    <w:p>
      <w:pPr>
        <w:pStyle w:val="Compact"/>
        <w:numPr>
          <w:ilvl w:val="0"/>
          <w:numId w:val="1001"/>
        </w:numPr>
      </w:pPr>
      <w:r>
        <w:t xml:space="preserve">Начало работы</w:t>
      </w:r>
    </w:p>
    <w:p>
      <w:pPr>
        <w:pStyle w:val="Compact"/>
        <w:numPr>
          <w:ilvl w:val="0"/>
          <w:numId w:val="1001"/>
        </w:numPr>
      </w:pPr>
      <w:r>
        <w:t xml:space="preserve">Поиск по реестрам закупок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0"/>
          <w:numId w:val="1001"/>
        </w:numPr>
      </w:pPr>
      <w:r>
        <w:t xml:space="preserve">Конструктор сохраняемых фильтров</w:t>
      </w:r>
    </w:p>
    <w:p>
      <w:pPr>
        <w:pStyle w:val="Compact"/>
        <w:numPr>
          <w:ilvl w:val="0"/>
          <w:numId w:val="1001"/>
        </w:numPr>
      </w:pPr>
      <w:r>
        <w:t xml:space="preserve">Рассылки уведомлений по фильтрам</w:t>
      </w:r>
    </w:p>
    <w:p>
      <w:pPr>
        <w:pStyle w:val="Compact"/>
        <w:numPr>
          <w:ilvl w:val="0"/>
          <w:numId w:val="1001"/>
        </w:numPr>
      </w:pPr>
      <w:r>
        <w:t xml:space="preserve">Справочники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Excel (XLSX)</w:t>
      </w:r>
    </w:p>
    <w:p>
      <w:pPr>
        <w:pStyle w:val="Compact"/>
        <w:numPr>
          <w:ilvl w:val="0"/>
          <w:numId w:val="1001"/>
        </w:numPr>
      </w:pPr>
      <w:r>
        <w:t xml:space="preserve">Управление учётной записью</w:t>
      </w:r>
    </w:p>
    <w:p>
      <w:pPr>
        <w:pStyle w:val="Compact"/>
        <w:numPr>
          <w:ilvl w:val="0"/>
          <w:numId w:val="1001"/>
        </w:numPr>
      </w:pPr>
      <w:r>
        <w:t xml:space="preserve">Техническая поддержка</w:t>
      </w:r>
    </w:p>
    <w:p>
      <w:r>
        <w:pict>
          <v:rect style="width:0;height:1.5pt" o:hralign="center" o:hrstd="t" o:hr="t"/>
        </w:pict>
      </w:r>
    </w:p>
    <w:bookmarkEnd w:id="9"/>
    <w:bookmarkStart w:id="16" w:name="назначение-и-общие-сведения"/>
    <w:p>
      <w:pPr>
        <w:pStyle w:val="Heading2"/>
      </w:pPr>
      <w:r>
        <w:t xml:space="preserve">1. Назначение и общие сведения</w:t>
      </w:r>
    </w:p>
    <w:bookmarkStart w:id="10" w:name="о-документе"/>
    <w:p>
      <w:pPr>
        <w:pStyle w:val="Heading3"/>
      </w:pPr>
      <w:r>
        <w:t xml:space="preserve">1.1. О документе</w:t>
      </w:r>
    </w:p>
    <w:p>
      <w:pPr>
        <w:pStyle w:val="FirstParagraph"/>
      </w:pPr>
      <w:r>
        <w:t xml:space="preserve">Настоящее Руководство пользователя (далее — Руководство) предназначено для конечных пользователей программного обеспечения «КРАСОФТ Поиск» (латинское наименование — KrasoftSearch; далее — ПО, Система, «КРАСОФТ Поиск») и описывает порядок повседневной работы с Системой: вход, выполнение поиска по реестрам закупок, работу с результатами, построение и сохранение фильтров, настройку рассылок уведомлений, использование справочников, экспорт результатов и управление собственной учётной записью.</w:t>
      </w:r>
    </w:p>
    <w:p>
      <w:pPr>
        <w:pStyle w:val="BodyText"/>
      </w:pPr>
      <w:r>
        <w:t xml:space="preserve">Правообладателем ПО является Общество с ограниченной ответственностью «Красофт» (ООО «Красофт»). Вопросы установки, развёртывания и администрирования серверной части в настоящем Руководстве не рассматриваются — они изложены в отдельной эксплуатационной документации.</w:t>
      </w:r>
    </w:p>
    <w:bookmarkEnd w:id="10"/>
    <w:bookmarkStart w:id="11" w:name="назначение-программного-обеспечения"/>
    <w:p>
      <w:pPr>
        <w:pStyle w:val="Heading3"/>
      </w:pPr>
      <w:r>
        <w:t xml:space="preserve">1.2. Назначение программного обеспечения</w:t>
      </w:r>
    </w:p>
    <w:p>
      <w:pPr>
        <w:pStyle w:val="FirstParagraph"/>
      </w:pPr>
      <w:r>
        <w:t xml:space="preserve">«КРАСОФТ Поиск» — веб-сервис поиска и анализа сведений по реестрам государственных и корпоративных закупок Российской Федерации. Система предназначена для оперативного поиска, фильтрации и анализа сведений о закупках, размещаемых в единой информационной системе в сфере закупок и иных открытых источниках, в том числе:</w:t>
      </w:r>
    </w:p>
    <w:p>
      <w:pPr>
        <w:pStyle w:val="Compact"/>
        <w:numPr>
          <w:ilvl w:val="0"/>
          <w:numId w:val="1002"/>
        </w:numPr>
      </w:pPr>
      <w:r>
        <w:t xml:space="preserve">извещений о закупках;</w:t>
      </w:r>
    </w:p>
    <w:p>
      <w:pPr>
        <w:pStyle w:val="Compact"/>
        <w:numPr>
          <w:ilvl w:val="0"/>
          <w:numId w:val="1002"/>
        </w:numPr>
      </w:pPr>
      <w:r>
        <w:t xml:space="preserve">контрактов (договоров) и сведений об их исполнении;</w:t>
      </w:r>
    </w:p>
    <w:p>
      <w:pPr>
        <w:pStyle w:val="Compact"/>
        <w:numPr>
          <w:ilvl w:val="0"/>
          <w:numId w:val="1002"/>
        </w:numPr>
      </w:pPr>
      <w:r>
        <w:t xml:space="preserve">сведений плана-графика закупок;</w:t>
      </w:r>
    </w:p>
    <w:p>
      <w:pPr>
        <w:pStyle w:val="Compact"/>
        <w:numPr>
          <w:ilvl w:val="0"/>
          <w:numId w:val="1002"/>
        </w:numPr>
      </w:pPr>
      <w:r>
        <w:t xml:space="preserve">объектов закупок (закупаемых товаров, работ, услуг);</w:t>
      </w:r>
    </w:p>
    <w:p>
      <w:pPr>
        <w:pStyle w:val="Compact"/>
        <w:numPr>
          <w:ilvl w:val="0"/>
          <w:numId w:val="1002"/>
        </w:numPr>
      </w:pPr>
      <w:r>
        <w:t xml:space="preserve">спецификаций извещений и контрактов.</w:t>
      </w:r>
    </w:p>
    <w:p>
      <w:pPr>
        <w:pStyle w:val="FirstParagraph"/>
      </w:pPr>
      <w:r>
        <w:t xml:space="preserve">Система поддерживает работу с закупками по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 и Федеральному закону от 18.07.2011 № 223-ФЗ «О закупках товаров, работ, услуг отдельными видами юридических лиц», предоставляя участникам закупок инструменты поиска подходящих процедур, мониторинга рынка, анализа конкурентной среды и заказчиков.</w:t>
      </w:r>
    </w:p>
    <w:p>
      <w:pPr>
        <w:pStyle w:val="BodyText"/>
      </w:pPr>
      <w:r>
        <w:t xml:space="preserve">По классификатору программ для электронных вычислительных машин и баз данных, утверждённому приказом Министерства цифрового развития, связи и массовых коммуникаций Российской Федерации от 22.09.2020 № 486, ПО относится к классу «12.20 Информационные системы для решения специфических отраслевых задач».</w:t>
      </w:r>
    </w:p>
    <w:bookmarkEnd w:id="11"/>
    <w:bookmarkStart w:id="12" w:name="кому-адресована-система"/>
    <w:p>
      <w:pPr>
        <w:pStyle w:val="Heading3"/>
      </w:pPr>
      <w:r>
        <w:t xml:space="preserve">1.3. Кому адресована Система</w:t>
      </w:r>
    </w:p>
    <w:p>
      <w:pPr>
        <w:pStyle w:val="FirstParagraph"/>
      </w:pPr>
      <w:r>
        <w:t xml:space="preserve">Программное обеспечение применяется:</w:t>
      </w:r>
    </w:p>
    <w:p>
      <w:pPr>
        <w:pStyle w:val="Compact"/>
        <w:numPr>
          <w:ilvl w:val="0"/>
          <w:numId w:val="1003"/>
        </w:numPr>
      </w:pPr>
      <w:r>
        <w:t xml:space="preserve">организациями и индивидуальными предпринимателями — участниками закупок для поиска релевантных закупочных процедур и подготовки к участию;</w:t>
      </w:r>
    </w:p>
    <w:p>
      <w:pPr>
        <w:pStyle w:val="Compact"/>
        <w:numPr>
          <w:ilvl w:val="0"/>
          <w:numId w:val="1003"/>
        </w:numPr>
      </w:pPr>
      <w:r>
        <w:t xml:space="preserve">специалистами по тендерному сопровождению и отделами продаж для мониторинга закупочной активности заказчиков и конкурентов;</w:t>
      </w:r>
    </w:p>
    <w:p>
      <w:pPr>
        <w:pStyle w:val="Compact"/>
        <w:numPr>
          <w:ilvl w:val="0"/>
          <w:numId w:val="1003"/>
        </w:numPr>
      </w:pPr>
      <w:r>
        <w:t xml:space="preserve">аналитиками для исследования рынка закупок, ценового анализа и оценки конкуренции;</w:t>
      </w:r>
    </w:p>
    <w:p>
      <w:pPr>
        <w:pStyle w:val="Compact"/>
        <w:numPr>
          <w:ilvl w:val="0"/>
          <w:numId w:val="1003"/>
        </w:numPr>
      </w:pPr>
      <w:r>
        <w:t xml:space="preserve">организациями в сфере здравоохранения и фармацевтики — для специализированного поиска по медицинским справочникам (лекарственные препараты, медицинские изделия).</w:t>
      </w:r>
    </w:p>
    <w:bookmarkEnd w:id="12"/>
    <w:bookmarkStart w:id="13" w:name="ключевые-возможности"/>
    <w:p>
      <w:pPr>
        <w:pStyle w:val="Heading3"/>
      </w:pPr>
      <w:r>
        <w:t xml:space="preserve">1.4. Ключевые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полнотекстовый и атрибутивный (фасетный) поиск по большим массивам данных закупок;</w:t>
      </w:r>
    </w:p>
    <w:p>
      <w:pPr>
        <w:pStyle w:val="Compact"/>
        <w:numPr>
          <w:ilvl w:val="0"/>
          <w:numId w:val="1004"/>
        </w:numPr>
      </w:pPr>
      <w:r>
        <w:t xml:space="preserve">конструктор сохраняемых пользователем расширенных фильтров;</w:t>
      </w:r>
    </w:p>
    <w:p>
      <w:pPr>
        <w:pStyle w:val="Compact"/>
        <w:numPr>
          <w:ilvl w:val="0"/>
          <w:numId w:val="1004"/>
        </w:numPr>
      </w:pPr>
      <w:r>
        <w:t xml:space="preserve">настройка рассылок уведомлений о новых закупках по сохранённым фильтрам;</w:t>
      </w:r>
    </w:p>
    <w:p>
      <w:pPr>
        <w:pStyle w:val="Compact"/>
        <w:numPr>
          <w:ilvl w:val="0"/>
          <w:numId w:val="1004"/>
        </w:numPr>
      </w:pPr>
      <w:r>
        <w:t xml:space="preserve">работа со справочниками (классификаторы, регионы, заказчики, поставщики, медицинские справочники и др.);</w:t>
      </w:r>
    </w:p>
    <w:p>
      <w:pPr>
        <w:pStyle w:val="Compact"/>
        <w:numPr>
          <w:ilvl w:val="0"/>
          <w:numId w:val="1004"/>
        </w:numPr>
      </w:pPr>
      <w:r>
        <w:t xml:space="preserve">экспорт результатов поиска в файл формата Microsoft Excel (XLSX);</w:t>
      </w:r>
    </w:p>
    <w:p>
      <w:pPr>
        <w:pStyle w:val="Compact"/>
        <w:numPr>
          <w:ilvl w:val="0"/>
          <w:numId w:val="1004"/>
        </w:numPr>
      </w:pPr>
      <w:r>
        <w:t xml:space="preserve">ведение личного кабинета пользователя.</w:t>
      </w:r>
    </w:p>
    <w:bookmarkEnd w:id="13"/>
    <w:bookmarkStart w:id="14" w:name="общие-характеристики-интерфейса"/>
    <w:p>
      <w:pPr>
        <w:pStyle w:val="Heading3"/>
      </w:pPr>
      <w:r>
        <w:t xml:space="preserve">1.5. Общие характеристики интерфейса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Веб-интерфейс.</w:t>
      </w:r>
      <w:r>
        <w:t xml:space="preserve"> </w:t>
      </w:r>
      <w:r>
        <w:t xml:space="preserve">ПО предоставляется в виде веб-приложения и не требует установки специализированного клиентского программного обеспечения на рабочем месте — для работы достаточно современного веб-браузера.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Русскоязычный интерфейс.</w:t>
      </w:r>
      <w:r>
        <w:t xml:space="preserve"> </w:t>
      </w:r>
      <w:r>
        <w:t xml:space="preserve">Пользовательский интерфейс выполнен на русском языке.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Разграничение доступа.</w:t>
      </w:r>
      <w:r>
        <w:t xml:space="preserve"> </w:t>
      </w:r>
      <w:r>
        <w:t xml:space="preserve">Состав доступных разделов и операций определяется правами пользователя (в зависимости от подписки/тарифа). Разделы, на которые у пользователя нет прав, в интерфейсе не отображаются.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Адаптивность.</w:t>
      </w:r>
      <w:r>
        <w:t xml:space="preserve"> </w:t>
      </w:r>
      <w:r>
        <w:t xml:space="preserve">Интерфейс адаптируется к различным размерам экранов настольных компьютеров и ноутбуков.</w:t>
      </w:r>
    </w:p>
    <w:bookmarkEnd w:id="14"/>
    <w:bookmarkStart w:id="15" w:name="термины-и-сокращения"/>
    <w:p>
      <w:pPr>
        <w:pStyle w:val="Heading3"/>
      </w:pPr>
      <w:r>
        <w:t xml:space="preserve">1.6. Термины и сокращения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Термин / сокращение</w:t>
            </w:r>
          </w:p>
        </w:tc>
        <w:tc>
          <w:tcPr/>
          <w:p>
            <w:pPr>
              <w:pStyle w:val="Compact"/>
            </w:pPr>
            <w:r>
              <w:t xml:space="preserve">Расшифровка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ПО, Система</w:t>
            </w:r>
          </w:p>
        </w:tc>
        <w:tc>
          <w:tcPr/>
          <w:p>
            <w:pPr>
              <w:pStyle w:val="Compact"/>
            </w:pPr>
            <w:r>
              <w:t xml:space="preserve">Программное обеспечение «КРАСОФТ Поиск»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Пользователь</w:t>
            </w:r>
          </w:p>
        </w:tc>
        <w:tc>
          <w:tcPr/>
          <w:p>
            <w:pPr>
              <w:pStyle w:val="Compact"/>
            </w:pPr>
            <w:r>
              <w:t xml:space="preserve">Лицо, использующее Систему в пределах предоставленных прав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Реестр</w:t>
            </w:r>
          </w:p>
        </w:tc>
        <w:tc>
          <w:tcPr/>
          <w:p>
            <w:pPr>
              <w:pStyle w:val="Compact"/>
            </w:pPr>
            <w:r>
              <w:t xml:space="preserve">Структурированный набор сведений о закупках, доступный для поиска в Системе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Фильтр</w:t>
            </w:r>
          </w:p>
        </w:tc>
        <w:tc>
          <w:tcPr/>
          <w:p>
            <w:pPr>
              <w:pStyle w:val="Compact"/>
            </w:pPr>
            <w:r>
              <w:t xml:space="preserve">Сохраняемый пользователем набор условий поиска по реестрам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Рассылка (уведомление)</w:t>
            </w:r>
          </w:p>
        </w:tc>
        <w:tc>
          <w:tcPr/>
          <w:p>
            <w:pPr>
              <w:pStyle w:val="Compact"/>
            </w:pPr>
            <w:r>
              <w:t xml:space="preserve">Автоматическое информирование пользователя о новых записях, соответствующих сохранённому фильтру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Карточка записи</w:t>
            </w:r>
          </w:p>
        </w:tc>
        <w:tc>
          <w:tcPr/>
          <w:p>
            <w:pPr>
              <w:pStyle w:val="Compact"/>
            </w:pPr>
            <w:r>
              <w:t xml:space="preserve">Экран с подробными сведениями по одной записи реестра (например, карточка извещения)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Фасет</w:t>
            </w:r>
          </w:p>
        </w:tc>
        <w:tc>
          <w:tcPr/>
          <w:p>
            <w:pPr>
              <w:pStyle w:val="Compact"/>
            </w:pPr>
            <w:r>
              <w:t xml:space="preserve">Отображение количества найденных записей в разрезе значимого атрибута с возможностью уточнения выборки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22" w:name="начало-работы"/>
    <w:p>
      <w:pPr>
        <w:pStyle w:val="Heading2"/>
      </w:pPr>
      <w:r>
        <w:t xml:space="preserve">2. Начало работы</w:t>
      </w:r>
    </w:p>
    <w:bookmarkStart w:id="17" w:name="требования-к-рабочему-месту"/>
    <w:p>
      <w:pPr>
        <w:pStyle w:val="Heading3"/>
      </w:pPr>
      <w:r>
        <w:t xml:space="preserve">2.1. Требования к рабочему месту</w:t>
      </w:r>
    </w:p>
    <w:p>
      <w:pPr>
        <w:pStyle w:val="FirstParagraph"/>
      </w:pPr>
      <w:r>
        <w:t xml:space="preserve">Для работы с Системой на рабочем месте пользователя достаточно современного веб-браузера; установка дополнительного программного обеспечения не требуется.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Веб-браузер:</w:t>
      </w:r>
      <w:r>
        <w:t xml:space="preserve"> </w:t>
      </w:r>
      <w:r>
        <w:t xml:space="preserve">актуальные версии (две последние) Яндекс Браузера, Google Chrome, Mozilla Firefox, Microsoft Edge (с поддержкой HTML5 и JavaScript) либо иной совместимый браузер на современном движке.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Разрешение экрана:</w:t>
      </w:r>
      <w:r>
        <w:t xml:space="preserve"> </w:t>
      </w:r>
      <w:r>
        <w:t xml:space="preserve">не ниже 1280 × 720 точек (рекомендуется 1920 × 1080).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Канал связи с сетью «Интернет»:</w:t>
      </w:r>
      <w:r>
        <w:t xml:space="preserve"> </w:t>
      </w:r>
      <w:r>
        <w:t xml:space="preserve">устойчивое соединение со скоростью не ниже 10 Мбит/с.</w:t>
      </w:r>
    </w:p>
    <w:p>
      <w:pPr>
        <w:pStyle w:val="Compact"/>
        <w:numPr>
          <w:ilvl w:val="0"/>
          <w:numId w:val="1006"/>
        </w:numPr>
      </w:pPr>
      <w:r>
        <w:t xml:space="preserve">В браузере должны быть разрешены файлы cookie и исполнение JavaScript для домена сервиса.</w:t>
      </w:r>
    </w:p>
    <w:p>
      <w:pPr>
        <w:pStyle w:val="FirstParagraph"/>
      </w:pPr>
      <w:r>
        <w:t xml:space="preserve">Система работает на распространённых операционных системах рабочих мест, в том числе российских (ОС «Альт», Astra Linux, РЕД ОС и др.), а также семейств Windows и Linux, без установки дополнительного программного обеспечения.</w:t>
      </w:r>
    </w:p>
    <w:bookmarkEnd w:id="17"/>
    <w:bookmarkStart w:id="18" w:name="вход-в-систему"/>
    <w:p>
      <w:pPr>
        <w:pStyle w:val="Heading3"/>
      </w:pPr>
      <w:r>
        <w:t xml:space="preserve">2.2. Вход в систему</w:t>
      </w:r>
    </w:p>
    <w:p>
      <w:pPr>
        <w:pStyle w:val="Compact"/>
        <w:numPr>
          <w:ilvl w:val="0"/>
          <w:numId w:val="1007"/>
        </w:numPr>
      </w:pPr>
      <w:r>
        <w:t xml:space="preserve">Откройте веб-браузер на рабочем месте.</w:t>
      </w:r>
    </w:p>
    <w:p>
      <w:pPr>
        <w:pStyle w:val="Compact"/>
        <w:numPr>
          <w:ilvl w:val="0"/>
          <w:numId w:val="1007"/>
        </w:numPr>
      </w:pPr>
      <w:r>
        <w:t xml:space="preserve">В адресной строке введите адрес предоставленного вам экземпляра Системы.</w:t>
      </w:r>
    </w:p>
    <w:p>
      <w:pPr>
        <w:pStyle w:val="Compact"/>
        <w:numPr>
          <w:ilvl w:val="0"/>
          <w:numId w:val="1007"/>
        </w:numPr>
      </w:pPr>
      <w:r>
        <w:t xml:space="preserve">Дождитесь загрузки страницы входа (авторизации).</w:t>
      </w:r>
    </w:p>
    <w:p>
      <w:pPr>
        <w:pStyle w:val="Compact"/>
        <w:numPr>
          <w:ilvl w:val="0"/>
          <w:numId w:val="1007"/>
        </w:numPr>
      </w:pPr>
      <w:r>
        <w:t xml:space="preserve">В поле «Логин» (или «Электронная почта») введите учётные данные, предоставленные администратором.</w:t>
      </w:r>
    </w:p>
    <w:p>
      <w:pPr>
        <w:pStyle w:val="Compact"/>
        <w:numPr>
          <w:ilvl w:val="0"/>
          <w:numId w:val="1007"/>
        </w:numPr>
      </w:pPr>
      <w:r>
        <w:t xml:space="preserve">В поле «Пароль» введите пароль.</w:t>
      </w:r>
    </w:p>
    <w:p>
      <w:pPr>
        <w:pStyle w:val="Compact"/>
        <w:numPr>
          <w:ilvl w:val="0"/>
          <w:numId w:val="1007"/>
        </w:numPr>
      </w:pPr>
      <w:r>
        <w:t xml:space="preserve">Нажмите кнопку «Войти».</w:t>
      </w:r>
    </w:p>
    <w:p>
      <w:pPr>
        <w:pStyle w:val="FirstParagraph"/>
      </w:pPr>
      <w:r>
        <w:t xml:space="preserve">При успешной проверке учётных данных Система выполняет переход на главный экран. При вводе неверных учётных данных выводится сообщение об ошибке авторизации с предложением повторить ввод. После нескольких неуспешных попыток подряд может применяться временная блокировка (определяется политикой безопасности экземпляра).</w:t>
      </w:r>
    </w:p>
    <w:p>
      <w:pPr>
        <w:pStyle w:val="BlockText"/>
      </w:pPr>
      <w:r>
        <w:t xml:space="preserve">Демонстрационный доступ для ознакомления с возможностями Системы предоставляется по запросу (обращение на info@krasoft.ru).</w:t>
      </w:r>
    </w:p>
    <w:bookmarkEnd w:id="18"/>
    <w:bookmarkStart w:id="19" w:name="личный-кабинет-и-главный-экран"/>
    <w:p>
      <w:pPr>
        <w:pStyle w:val="Heading3"/>
      </w:pPr>
      <w:r>
        <w:t xml:space="preserve">2.3. Личный кабинет и главный экран</w:t>
      </w:r>
    </w:p>
    <w:p>
      <w:pPr>
        <w:pStyle w:val="FirstParagraph"/>
      </w:pPr>
      <w:r>
        <w:t xml:space="preserve">После авторизации открывается главный экран Системы, состоящий из следующих областей: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Верхняя панель.</w:t>
      </w:r>
      <w:r>
        <w:t xml:space="preserve"> </w:t>
      </w:r>
      <w:r>
        <w:t xml:space="preserve">Наименование Системы, строка глобального поиска, индикатор уведомлений, меню профиля пользователя, кнопка вызова справки.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Боковое меню навигации.</w:t>
      </w:r>
      <w:r>
        <w:t xml:space="preserve"> </w:t>
      </w:r>
      <w:r>
        <w:t xml:space="preserve">Перечень доступных пользователю разделов и реестров; его состав зависит от прав доступа.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Рабочая область.</w:t>
      </w:r>
      <w:r>
        <w:t xml:space="preserve"> </w:t>
      </w:r>
      <w:r>
        <w:t xml:space="preserve">Основная зона отображения форм поиска, списков результатов и карточек записей.</w:t>
      </w:r>
    </w:p>
    <w:p>
      <w:pPr>
        <w:pStyle w:val="FirstParagraph"/>
      </w:pPr>
      <w:r>
        <w:t xml:space="preserve">Типовой состав разделов Системы:</w:t>
      </w:r>
    </w:p>
    <w:p>
      <w:pPr>
        <w:pStyle w:val="Compact"/>
        <w:numPr>
          <w:ilvl w:val="0"/>
          <w:numId w:val="1009"/>
        </w:numPr>
      </w:pPr>
      <w:r>
        <w:t xml:space="preserve">«Поиск по реестрам» — поиск по извещениям, контрактам, плану-графику, объектам закупок, спецификациям, исполнению контрактов;</w:t>
      </w:r>
    </w:p>
    <w:p>
      <w:pPr>
        <w:pStyle w:val="Compact"/>
        <w:numPr>
          <w:ilvl w:val="0"/>
          <w:numId w:val="1009"/>
        </w:numPr>
      </w:pPr>
      <w:r>
        <w:t xml:space="preserve">«Мои фильтры» — управление сохранёнными поисковыми фильтрами;</w:t>
      </w:r>
    </w:p>
    <w:p>
      <w:pPr>
        <w:pStyle w:val="Compact"/>
        <w:numPr>
          <w:ilvl w:val="0"/>
          <w:numId w:val="1009"/>
        </w:numPr>
      </w:pPr>
      <w:r>
        <w:t xml:space="preserve">«Рассылки» — настройка уведомлений по фильтрам;</w:t>
      </w:r>
    </w:p>
    <w:p>
      <w:pPr>
        <w:pStyle w:val="Compact"/>
        <w:numPr>
          <w:ilvl w:val="0"/>
          <w:numId w:val="1009"/>
        </w:numPr>
      </w:pPr>
      <w:r>
        <w:t xml:space="preserve">«Справочники» — просмотр и выбор значений классификаторов и справочников;</w:t>
      </w:r>
    </w:p>
    <w:p>
      <w:pPr>
        <w:pStyle w:val="Compact"/>
        <w:numPr>
          <w:ilvl w:val="0"/>
          <w:numId w:val="1009"/>
        </w:numPr>
      </w:pPr>
      <w:r>
        <w:t xml:space="preserve">«Профиль» (личный кабинет) — сведения об учётной записи и персональные настройки.</w:t>
      </w:r>
    </w:p>
    <w:p>
      <w:pPr>
        <w:pStyle w:val="FirstParagraph"/>
      </w:pPr>
      <w:r>
        <w:t xml:space="preserve">Разделы, на которые у пользователя отсутствуют права, в меню не отображаются.</w:t>
      </w:r>
    </w:p>
    <w:bookmarkEnd w:id="19"/>
    <w:bookmarkStart w:id="20" w:name="завершение-сеанса"/>
    <w:p>
      <w:pPr>
        <w:pStyle w:val="Heading3"/>
      </w:pPr>
      <w:r>
        <w:t xml:space="preserve">2.4. Завершение сеанса</w:t>
      </w:r>
    </w:p>
    <w:p>
      <w:pPr>
        <w:pStyle w:val="FirstParagraph"/>
      </w:pPr>
      <w:r>
        <w:t xml:space="preserve">Для завершения работы воспользуйтесь пунктом «Выход» в меню профиля (в правом верхнем углу экрана). По истечении срока действия сеанса он завершается автоматически — для продолжения работы потребуется повторная авторизация.</w:t>
      </w:r>
    </w:p>
    <w:bookmarkEnd w:id="20"/>
    <w:bookmarkStart w:id="21" w:name="восстановление-доступа"/>
    <w:p>
      <w:pPr>
        <w:pStyle w:val="Heading3"/>
      </w:pPr>
      <w:r>
        <w:t xml:space="preserve">2.5. Восстановление доступа</w:t>
      </w:r>
    </w:p>
    <w:p>
      <w:pPr>
        <w:pStyle w:val="FirstParagraph"/>
      </w:pPr>
      <w:r>
        <w:t xml:space="preserve">В случае утраты пароля обратитесь к администратору вашей организации либо в службу технической поддержки ООО «Красофт» (контакты приведены в разделе 10). Восстановление доступа выполняется по обращению к администратору.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7" w:name="поиск-по-реестрам-закупок"/>
    <w:p>
      <w:pPr>
        <w:pStyle w:val="Heading2"/>
      </w:pPr>
      <w:r>
        <w:t xml:space="preserve">3. Поиск по реестрам закупок</w:t>
      </w:r>
    </w:p>
    <w:p>
      <w:pPr>
        <w:pStyle w:val="FirstParagraph"/>
      </w:pPr>
      <w:r>
        <w:t xml:space="preserve">Основная возможность Системы — высокопроизводительный поиск по реестрам закупок. Поиск выполняется по предварительно проиндексированным данным, что обеспечивает высокую скорость отклика даже на больших объёмах сведений.</w:t>
      </w:r>
    </w:p>
    <w:bookmarkStart w:id="23" w:name="общий-порядок-поиска"/>
    <w:p>
      <w:pPr>
        <w:pStyle w:val="Heading3"/>
      </w:pPr>
      <w:r>
        <w:t xml:space="preserve">3.1. Общий порядок поиска</w:t>
      </w:r>
    </w:p>
    <w:p>
      <w:pPr>
        <w:pStyle w:val="Compact"/>
        <w:numPr>
          <w:ilvl w:val="0"/>
          <w:numId w:val="1010"/>
        </w:numPr>
      </w:pPr>
      <w:r>
        <w:t xml:space="preserve">В боковом меню выберите раздел «Поиск по реестрам» и нужный реестр (например, «Извещения»).</w:t>
      </w:r>
    </w:p>
    <w:p>
      <w:pPr>
        <w:pStyle w:val="Compact"/>
        <w:numPr>
          <w:ilvl w:val="0"/>
          <w:numId w:val="1010"/>
        </w:numPr>
      </w:pPr>
      <w:r>
        <w:t xml:space="preserve">В рабочей области отобразится форма поиска с полями и фильтрами, характерными для выбранного реестра.</w:t>
      </w:r>
    </w:p>
    <w:p>
      <w:pPr>
        <w:pStyle w:val="Compact"/>
        <w:numPr>
          <w:ilvl w:val="0"/>
          <w:numId w:val="1010"/>
        </w:numPr>
      </w:pPr>
      <w:r>
        <w:t xml:space="preserve">Введите поисковый запрос в строку полнотекстового поиска и (или) задайте значения атрибутивных полей (период, регион, заказчик, сумма, классификатор и т. д.).</w:t>
      </w:r>
    </w:p>
    <w:p>
      <w:pPr>
        <w:pStyle w:val="Compact"/>
        <w:numPr>
          <w:ilvl w:val="0"/>
          <w:numId w:val="1010"/>
        </w:numPr>
      </w:pPr>
      <w:r>
        <w:t xml:space="preserve">Нажмите кнопку «Найти» (или «Применить»).</w:t>
      </w:r>
    </w:p>
    <w:p>
      <w:pPr>
        <w:pStyle w:val="Compact"/>
        <w:numPr>
          <w:ilvl w:val="0"/>
          <w:numId w:val="1010"/>
        </w:numPr>
      </w:pPr>
      <w:r>
        <w:t xml:space="preserve">Система отобразит список найденных записей с постраничной навигацией.</w:t>
      </w:r>
    </w:p>
    <w:bookmarkEnd w:id="23"/>
    <w:bookmarkStart w:id="24" w:name="категории-реестров"/>
    <w:p>
      <w:pPr>
        <w:pStyle w:val="Heading3"/>
      </w:pPr>
      <w:r>
        <w:t xml:space="preserve">3.2. Категории реестров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Реестр</w:t>
            </w:r>
          </w:p>
        </w:tc>
        <w:tc>
          <w:tcPr/>
          <w:p>
            <w:pPr>
              <w:pStyle w:val="Compact"/>
            </w:pPr>
            <w:r>
              <w:t xml:space="preserve">Что можно найти и просмотреть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Извещения</w:t>
            </w:r>
          </w:p>
        </w:tc>
        <w:tc>
          <w:tcPr/>
          <w:p>
            <w:pPr>
              <w:pStyle w:val="Compact"/>
            </w:pPr>
            <w:r>
              <w:t xml:space="preserve">Извещения о проведении закупочных процедур по 44-ФЗ и 223-ФЗ, корпоративным закупкам, котировочным сессиям. В карточке извещения — заказчик, начальная (максимальная) цена контракта, сроки, способ определения поставщика, регион, классификаторы предмета закупки, документы извещения, спецификации (техническое задание), связанные контракты, протоколы и результаты процедур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Контракты</w:t>
            </w:r>
          </w:p>
        </w:tc>
        <w:tc>
          <w:tcPr/>
          <w:p>
            <w:pPr>
              <w:pStyle w:val="Compact"/>
            </w:pPr>
            <w:r>
              <w:t xml:space="preserve">Заключённые контракты (договоры). В карточке контракта — сведения о поставщике, заказчике, цене, предмете, сроках, связанных извещениях и документах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План-график закупок</w:t>
            </w:r>
          </w:p>
        </w:tc>
        <w:tc>
          <w:tcPr/>
          <w:p>
            <w:pPr>
              <w:pStyle w:val="Compact"/>
            </w:pPr>
            <w:r>
              <w:t xml:space="preserve">Позиции плана-графика с просмотром структуры плана и закупаемых товаров (работ, услуг) по позициям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Объекты закупок</w:t>
            </w:r>
          </w:p>
        </w:tc>
        <w:tc>
          <w:tcPr/>
          <w:p>
            <w:pPr>
              <w:pStyle w:val="Compact"/>
            </w:pPr>
            <w:r>
              <w:t xml:space="preserve">Отдельные позиции закупаемых товаров, работ, услуг с детализацией до уровня конкретной позиции — в разрезе извещений, контрактов и плана-графика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Спецификации (техническое задание)</w:t>
            </w:r>
          </w:p>
        </w:tc>
        <w:tc>
          <w:tcPr/>
          <w:p>
            <w:pPr>
              <w:pStyle w:val="Compact"/>
            </w:pPr>
            <w:r>
              <w:t xml:space="preserve">Спецификации извещений и контрактов, включая количественные и качественные характеристики закупаемой продукции и версии спецификаций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Исполнение контрактов</w:t>
            </w:r>
          </w:p>
        </w:tc>
        <w:tc>
          <w:tcPr/>
          <w:p>
            <w:pPr>
              <w:pStyle w:val="Compact"/>
            </w:pPr>
            <w:r>
              <w:t xml:space="preserve">Сведения об исполнении контрактов, в том числе об оплатах и о фактически поставленной продукции</w:t>
            </w:r>
          </w:p>
        </w:tc>
      </w:tr>
    </w:tbl>
    <w:bookmarkEnd w:id="24"/>
    <w:bookmarkStart w:id="25" w:name="открытие-карточки-записи"/>
    <w:p>
      <w:pPr>
        <w:pStyle w:val="Heading3"/>
      </w:pPr>
      <w:r>
        <w:t xml:space="preserve">3.3. Открытие карточки записи</w:t>
      </w:r>
    </w:p>
    <w:p>
      <w:pPr>
        <w:pStyle w:val="FirstParagraph"/>
      </w:pPr>
      <w:r>
        <w:t xml:space="preserve">Для просмотра подробных сведений по записи нажмите на строку в списке результатов — откроется карточка записи. Карточка извещения, как правило, содержит вкладки: документы, протоколы, связанные контракты, спецификация, комментарии. Состав вкладок и полей зависит от реестра и вида процедуры.</w:t>
      </w:r>
    </w:p>
    <w:bookmarkEnd w:id="25"/>
    <w:bookmarkStart w:id="26" w:name="если-поиск-временно-недоступен"/>
    <w:p>
      <w:pPr>
        <w:pStyle w:val="Heading3"/>
      </w:pPr>
      <w:r>
        <w:t xml:space="preserve">3.4. Если поиск временно недоступен</w:t>
      </w:r>
    </w:p>
    <w:p>
      <w:pPr>
        <w:pStyle w:val="FirstParagraph"/>
      </w:pPr>
      <w:r>
        <w:t xml:space="preserve">Если поисковая подсистема временно недоступна, Система выводит уведомление о невозможности выполнить поиск и рекомендует повторить операцию позднее. Иные функции, не зависящие от поиска (например, личный кабинет), при этом остаются доступными.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работа-с-результатами-поиска"/>
    <w:p>
      <w:pPr>
        <w:pStyle w:val="Heading2"/>
      </w:pPr>
      <w:r>
        <w:t xml:space="preserve">4. Работа с результатами поиска</w:t>
      </w:r>
    </w:p>
    <w:p>
      <w:pPr>
        <w:pStyle w:val="FirstParagraph"/>
      </w:pPr>
      <w:r>
        <w:t xml:space="preserve">Для всех категорий поиска поддерживаются единые механизмы работы с результатами.</w:t>
      </w:r>
    </w:p>
    <w:bookmarkStart w:id="28" w:name="полнотекстовый-поиск"/>
    <w:p>
      <w:pPr>
        <w:pStyle w:val="Heading3"/>
      </w:pPr>
      <w:r>
        <w:t xml:space="preserve">4.1. Полнотекстовый поиск</w:t>
      </w:r>
    </w:p>
    <w:p>
      <w:pPr>
        <w:pStyle w:val="FirstParagraph"/>
      </w:pPr>
      <w:r>
        <w:t xml:space="preserve">Полнотекстовый поиск выполняется по содержательным полям записей (наименование закупки, наименование объекта закупки, реквизиты и т. п.). Достаточно ввести ключевые слова в строку поиска — Система найдёт записи, в которых эти слова встречаются.</w:t>
      </w:r>
    </w:p>
    <w:bookmarkEnd w:id="28"/>
    <w:bookmarkStart w:id="29" w:name="фасетная-навигация-фасеты"/>
    <w:p>
      <w:pPr>
        <w:pStyle w:val="Heading3"/>
      </w:pPr>
      <w:r>
        <w:t xml:space="preserve">4.2. Фасетная навигация (фасеты)</w:t>
      </w:r>
    </w:p>
    <w:p>
      <w:pPr>
        <w:pStyle w:val="FirstParagraph"/>
      </w:pPr>
      <w:r>
        <w:t xml:space="preserve">Рядом со списком результатов отображаются фасеты — количество найденных записей в разрезе значимых атрибутов (регион, заказчик, способ определения поставщика, отрасль, классификатор и т. п.). Выбор значения фасета уточняет выборку — в списке остаются только записи с этим значением.</w:t>
      </w:r>
    </w:p>
    <w:bookmarkEnd w:id="29"/>
    <w:bookmarkStart w:id="30" w:name="фильтрация"/>
    <w:p>
      <w:pPr>
        <w:pStyle w:val="Heading3"/>
      </w:pPr>
      <w:r>
        <w:t xml:space="preserve">4.3. Фильтрация</w:t>
      </w:r>
    </w:p>
    <w:p>
      <w:pPr>
        <w:pStyle w:val="FirstParagraph"/>
      </w:pPr>
      <w:r>
        <w:t xml:space="preserve">Результаты можно уточнять фильтрами по множеству атрибутов:</w:t>
      </w:r>
    </w:p>
    <w:p>
      <w:pPr>
        <w:pStyle w:val="Compact"/>
        <w:numPr>
          <w:ilvl w:val="0"/>
          <w:numId w:val="1011"/>
        </w:numPr>
      </w:pPr>
      <w:r>
        <w:t xml:space="preserve">диапазоны цен;</w:t>
      </w:r>
    </w:p>
    <w:p>
      <w:pPr>
        <w:pStyle w:val="Compact"/>
        <w:numPr>
          <w:ilvl w:val="0"/>
          <w:numId w:val="1011"/>
        </w:numPr>
      </w:pPr>
      <w:r>
        <w:t xml:space="preserve">даты (периоды публикации, сроки);</w:t>
      </w:r>
    </w:p>
    <w:p>
      <w:pPr>
        <w:pStyle w:val="Compact"/>
        <w:numPr>
          <w:ilvl w:val="0"/>
          <w:numId w:val="1011"/>
        </w:numPr>
      </w:pPr>
      <w:r>
        <w:t xml:space="preserve">регионы;</w:t>
      </w:r>
    </w:p>
    <w:p>
      <w:pPr>
        <w:pStyle w:val="Compact"/>
        <w:numPr>
          <w:ilvl w:val="0"/>
          <w:numId w:val="1011"/>
        </w:numPr>
      </w:pPr>
      <w:r>
        <w:t xml:space="preserve">классификаторы предмета закупки;</w:t>
      </w:r>
    </w:p>
    <w:p>
      <w:pPr>
        <w:pStyle w:val="Compact"/>
        <w:numPr>
          <w:ilvl w:val="0"/>
          <w:numId w:val="1011"/>
        </w:numPr>
      </w:pPr>
      <w:r>
        <w:t xml:space="preserve">статусы и этапы процедур;</w:t>
      </w:r>
    </w:p>
    <w:p>
      <w:pPr>
        <w:pStyle w:val="Compact"/>
        <w:numPr>
          <w:ilvl w:val="0"/>
          <w:numId w:val="1011"/>
        </w:numPr>
      </w:pPr>
      <w:r>
        <w:t xml:space="preserve">иные атрибуты, характерные для конкретного реестра.</w:t>
      </w:r>
    </w:p>
    <w:bookmarkEnd w:id="30"/>
    <w:bookmarkStart w:id="31" w:name="сортировка"/>
    <w:p>
      <w:pPr>
        <w:pStyle w:val="Heading3"/>
      </w:pPr>
      <w:r>
        <w:t xml:space="preserve">4.4. Сортировка</w:t>
      </w:r>
    </w:p>
    <w:p>
      <w:pPr>
        <w:pStyle w:val="FirstParagraph"/>
      </w:pPr>
      <w:r>
        <w:t xml:space="preserve">Список результатов можно упорядочить по выбранному полю (например, по дате или по цене) в прямом или обратном порядке. Сортировка выполняется нажатием на заголовок соответствующего столбца.</w:t>
      </w:r>
    </w:p>
    <w:bookmarkEnd w:id="31"/>
    <w:bookmarkStart w:id="32" w:name="постраничный-вывод"/>
    <w:p>
      <w:pPr>
        <w:pStyle w:val="Heading3"/>
      </w:pPr>
      <w:r>
        <w:t xml:space="preserve">4.5. Постраничный вывод</w:t>
      </w:r>
    </w:p>
    <w:p>
      <w:pPr>
        <w:pStyle w:val="FirstParagraph"/>
      </w:pPr>
      <w:r>
        <w:t xml:space="preserve">Результаты отображаются в табличном виде постранично. Элементы постраничной навигации расположены внизу списка; размер страницы выбирается из предложенных значений. Состав столбцов таблицы зависит от реестра.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8" w:name="конструктор-сохраняемых-фильтров"/>
    <w:p>
      <w:pPr>
        <w:pStyle w:val="Heading2"/>
      </w:pPr>
      <w:r>
        <w:t xml:space="preserve">5. Конструктор сохраняемых фильтров</w:t>
      </w:r>
    </w:p>
    <w:bookmarkStart w:id="34" w:name="назначение"/>
    <w:p>
      <w:pPr>
        <w:pStyle w:val="Heading3"/>
      </w:pPr>
      <w:r>
        <w:t xml:space="preserve">5.1. Назначение</w:t>
      </w:r>
    </w:p>
    <w:p>
      <w:pPr>
        <w:pStyle w:val="FirstParagraph"/>
      </w:pPr>
      <w:r>
        <w:t xml:space="preserve">Конструктор фильтров позволяет пользователю формировать собственные правила отбора закупок без программирования: описывать сложные условия из набора правил, объединять их в группы с логическими операторами, сохранять под именем и повторно применять. Сохранённый фильтр также служит основой для рассылок уведомлений (раздел 6).</w:t>
      </w:r>
    </w:p>
    <w:bookmarkEnd w:id="34"/>
    <w:bookmarkStart w:id="35" w:name="создание-фильтра"/>
    <w:p>
      <w:pPr>
        <w:pStyle w:val="Heading3"/>
      </w:pPr>
      <w:r>
        <w:t xml:space="preserve">5.2. Создание фильтра</w:t>
      </w:r>
    </w:p>
    <w:p>
      <w:pPr>
        <w:pStyle w:val="Compact"/>
        <w:numPr>
          <w:ilvl w:val="0"/>
          <w:numId w:val="1012"/>
        </w:numPr>
      </w:pPr>
      <w:r>
        <w:t xml:space="preserve">В форме поиска нажмите «Конструктор фильтров» (или «Добавить условие»).</w:t>
      </w:r>
    </w:p>
    <w:p>
      <w:pPr>
        <w:pStyle w:val="Compact"/>
        <w:numPr>
          <w:ilvl w:val="0"/>
          <w:numId w:val="1012"/>
        </w:numPr>
      </w:pPr>
      <w:r>
        <w:t xml:space="preserve">Выберите поле (атрибут реестра или значение справочника), оператор сравнения (равно, содержит, больше, меньше, в диапазоне, входит в список и т. п.) и значение. Для полей, связанных со справочниками, значение выбирается из справочника (раздел 7).</w:t>
      </w:r>
    </w:p>
    <w:p>
      <w:pPr>
        <w:pStyle w:val="Compact"/>
        <w:numPr>
          <w:ilvl w:val="0"/>
          <w:numId w:val="1012"/>
        </w:numPr>
      </w:pPr>
      <w:r>
        <w:t xml:space="preserve">При необходимости добавьте текстовые условия (ключевые слова, в том числе с учётом синонимов).</w:t>
      </w:r>
    </w:p>
    <w:p>
      <w:pPr>
        <w:pStyle w:val="Compact"/>
        <w:numPr>
          <w:ilvl w:val="0"/>
          <w:numId w:val="1012"/>
        </w:numPr>
      </w:pPr>
      <w:r>
        <w:t xml:space="preserve">Добавьте дополнительные условия и объедините их в группы с логическими операторами</w:t>
      </w:r>
      <w:r>
        <w:t xml:space="preserve"> </w:t>
      </w:r>
      <w:r>
        <w:rPr>
          <w:b/>
          <w:bCs/>
        </w:rPr>
        <w:t xml:space="preserve">«И»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«ИЛИ»</w:t>
      </w:r>
      <w:r>
        <w:t xml:space="preserve">. Группы позволяют описывать логику любой сложности: например, «(регион = А ИЛИ регион = Б) И цена в диапазоне».</w:t>
      </w:r>
    </w:p>
    <w:p>
      <w:pPr>
        <w:pStyle w:val="Compact"/>
        <w:numPr>
          <w:ilvl w:val="0"/>
          <w:numId w:val="1012"/>
        </w:numPr>
      </w:pPr>
      <w:r>
        <w:t xml:space="preserve">При необходимости укажите состав выводимых полей результата.</w:t>
      </w:r>
    </w:p>
    <w:p>
      <w:pPr>
        <w:pStyle w:val="Compact"/>
        <w:numPr>
          <w:ilvl w:val="0"/>
          <w:numId w:val="1012"/>
        </w:numPr>
      </w:pPr>
      <w:r>
        <w:t xml:space="preserve">Нажмите «Применить», чтобы увидеть результаты по заданным условиям.</w:t>
      </w:r>
    </w:p>
    <w:bookmarkEnd w:id="35"/>
    <w:bookmarkStart w:id="36" w:name="сохранение-фильтра"/>
    <w:p>
      <w:pPr>
        <w:pStyle w:val="Heading3"/>
      </w:pPr>
      <w:r>
        <w:t xml:space="preserve">5.3. Сохранение фильтра</w:t>
      </w:r>
    </w:p>
    <w:p>
      <w:pPr>
        <w:pStyle w:val="Compact"/>
        <w:numPr>
          <w:ilvl w:val="0"/>
          <w:numId w:val="1013"/>
        </w:numPr>
      </w:pPr>
      <w:r>
        <w:t xml:space="preserve">После настройки условий нажмите «Сохранить фильтр».</w:t>
      </w:r>
    </w:p>
    <w:p>
      <w:pPr>
        <w:pStyle w:val="Compact"/>
        <w:numPr>
          <w:ilvl w:val="0"/>
          <w:numId w:val="1013"/>
        </w:numPr>
      </w:pPr>
      <w:r>
        <w:t xml:space="preserve">Укажите наименование фильтра.</w:t>
      </w:r>
    </w:p>
    <w:p>
      <w:pPr>
        <w:pStyle w:val="Compact"/>
        <w:numPr>
          <w:ilvl w:val="0"/>
          <w:numId w:val="1013"/>
        </w:numPr>
      </w:pPr>
      <w:r>
        <w:t xml:space="preserve">Подтвердите сохранение. Фильтр станет доступен в разделе «Мои фильтры».</w:t>
      </w:r>
    </w:p>
    <w:bookmarkEnd w:id="36"/>
    <w:bookmarkStart w:id="37" w:name="управление-сохранёнными-фильтрами"/>
    <w:p>
      <w:pPr>
        <w:pStyle w:val="Heading3"/>
      </w:pPr>
      <w:r>
        <w:t xml:space="preserve">5.4. Управление сохранёнными фильтрами</w:t>
      </w:r>
    </w:p>
    <w:p>
      <w:pPr>
        <w:pStyle w:val="FirstParagraph"/>
      </w:pPr>
      <w:r>
        <w:t xml:space="preserve">В разделе «Мои фильтры» доступны следующие операции: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Применить</w:t>
            </w:r>
          </w:p>
        </w:tc>
        <w:tc>
          <w:tcPr/>
          <w:p>
            <w:pPr>
              <w:pStyle w:val="Compact"/>
            </w:pPr>
            <w:r>
              <w:t xml:space="preserve">Выполнить поиск по сохранённым условиям фильтра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Переименовать</w:t>
            </w:r>
          </w:p>
        </w:tc>
        <w:tc>
          <w:tcPr/>
          <w:p>
            <w:pPr>
              <w:pStyle w:val="Compact"/>
            </w:pPr>
            <w:r>
              <w:t xml:space="preserve">Изменить наименование фильтра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Копировать</w:t>
            </w:r>
          </w:p>
        </w:tc>
        <w:tc>
          <w:tcPr/>
          <w:p>
            <w:pPr>
              <w:pStyle w:val="Compact"/>
            </w:pPr>
            <w:r>
              <w:t xml:space="preserve">Создать копию фильтра для последующего изменения (исходный фильтр сохраняется)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Редактировать условия</w:t>
            </w:r>
          </w:p>
        </w:tc>
        <w:tc>
          <w:tcPr/>
          <w:p>
            <w:pPr>
              <w:pStyle w:val="Compact"/>
            </w:pPr>
            <w:r>
              <w:t xml:space="preserve">Добавить или удалить отдельные условия либо группы условий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Очистить условия</w:t>
            </w:r>
          </w:p>
        </w:tc>
        <w:tc>
          <w:tcPr/>
          <w:p>
            <w:pPr>
              <w:pStyle w:val="Compact"/>
            </w:pPr>
            <w:r>
              <w:t xml:space="preserve">Удалить все условия фильтра, сохранив сам фильтр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Удалить</w:t>
            </w:r>
          </w:p>
        </w:tc>
        <w:tc>
          <w:tcPr/>
          <w:p>
            <w:pPr>
              <w:pStyle w:val="Compact"/>
            </w:pPr>
            <w:r>
              <w:t xml:space="preserve">Удалить фильтр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42" w:name="рассылки-уведомлений-по-фильтрам"/>
    <w:p>
      <w:pPr>
        <w:pStyle w:val="Heading2"/>
      </w:pPr>
      <w:r>
        <w:t xml:space="preserve">6. Рассылки уведомлений по фильтрам</w:t>
      </w:r>
    </w:p>
    <w:bookmarkStart w:id="39" w:name="назначение-1"/>
    <w:p>
      <w:pPr>
        <w:pStyle w:val="Heading3"/>
      </w:pPr>
      <w:r>
        <w:t xml:space="preserve">6.1. Назначение</w:t>
      </w:r>
    </w:p>
    <w:p>
      <w:pPr>
        <w:pStyle w:val="FirstParagraph"/>
      </w:pPr>
      <w:r>
        <w:t xml:space="preserve">Рассылки обеспечивают автоматическое информирование пользователя о новых записях в реестрах, соответствующих сохранённому фильтру, без необходимости повторного ручного поиска.</w:t>
      </w:r>
    </w:p>
    <w:bookmarkEnd w:id="39"/>
    <w:bookmarkStart w:id="40" w:name="создание-рассылки"/>
    <w:p>
      <w:pPr>
        <w:pStyle w:val="Heading3"/>
      </w:pPr>
      <w:r>
        <w:t xml:space="preserve">6.2. Создание рассылки</w:t>
      </w:r>
    </w:p>
    <w:p>
      <w:pPr>
        <w:pStyle w:val="Compact"/>
        <w:numPr>
          <w:ilvl w:val="0"/>
          <w:numId w:val="1014"/>
        </w:numPr>
      </w:pPr>
      <w:r>
        <w:t xml:space="preserve">Перейдите в раздел «Рассылки».</w:t>
      </w:r>
    </w:p>
    <w:p>
      <w:pPr>
        <w:pStyle w:val="Compact"/>
        <w:numPr>
          <w:ilvl w:val="0"/>
          <w:numId w:val="1014"/>
        </w:numPr>
      </w:pPr>
      <w:r>
        <w:t xml:space="preserve">Нажмите «Создать рассылку».</w:t>
      </w:r>
    </w:p>
    <w:p>
      <w:pPr>
        <w:pStyle w:val="Compact"/>
        <w:numPr>
          <w:ilvl w:val="0"/>
          <w:numId w:val="1014"/>
        </w:numPr>
      </w:pPr>
      <w:r>
        <w:t xml:space="preserve">Выберите сохранённый фильтр (один или несколько), на основе которого будет формироваться рассылка.</w:t>
      </w:r>
    </w:p>
    <w:p>
      <w:pPr>
        <w:pStyle w:val="Compact"/>
        <w:numPr>
          <w:ilvl w:val="0"/>
          <w:numId w:val="1014"/>
        </w:numPr>
      </w:pPr>
      <w:r>
        <w:t xml:space="preserve">Задайте параметры рассылки: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</w:rPr>
        <w:t xml:space="preserve">периодичность</w:t>
      </w:r>
      <w:r>
        <w:t xml:space="preserve"> </w:t>
      </w:r>
      <w:r>
        <w:t xml:space="preserve">— например, ежедневно либо еженедельно;</w:t>
      </w:r>
    </w:p>
    <w:p>
      <w:pPr>
        <w:pStyle w:val="Compact"/>
        <w:numPr>
          <w:ilvl w:val="1"/>
          <w:numId w:val="1015"/>
        </w:numPr>
      </w:pPr>
      <w:r>
        <w:rPr>
          <w:b/>
          <w:bCs/>
        </w:rPr>
        <w:t xml:space="preserve">канал доставки</w:t>
      </w:r>
      <w:r>
        <w:t xml:space="preserve"> </w:t>
      </w:r>
      <w:r>
        <w:t xml:space="preserve">— электронная почта и (или) уведомления внутри Системы;</w:t>
      </w:r>
    </w:p>
    <w:p>
      <w:pPr>
        <w:pStyle w:val="Compact"/>
        <w:numPr>
          <w:ilvl w:val="1"/>
          <w:numId w:val="1015"/>
        </w:numPr>
      </w:pPr>
      <w:r>
        <w:rPr>
          <w:b/>
          <w:bCs/>
        </w:rPr>
        <w:t xml:space="preserve">адрес электронной почты получателя</w:t>
      </w:r>
      <w:r>
        <w:t xml:space="preserve"> </w:t>
      </w:r>
      <w:r>
        <w:t xml:space="preserve">— по умолчанию используется адрес учётной записи; при необходимости можно указать другой адрес.</w:t>
      </w:r>
    </w:p>
    <w:p>
      <w:pPr>
        <w:pStyle w:val="Compact"/>
        <w:numPr>
          <w:ilvl w:val="0"/>
          <w:numId w:val="1014"/>
        </w:numPr>
      </w:pPr>
      <w:r>
        <w:t xml:space="preserve">Сохраните рассылку.</w:t>
      </w:r>
    </w:p>
    <w:bookmarkEnd w:id="40"/>
    <w:bookmarkStart w:id="41" w:name="управление-рассылками"/>
    <w:p>
      <w:pPr>
        <w:pStyle w:val="Heading3"/>
      </w:pPr>
      <w:r>
        <w:t xml:space="preserve">6.3. Управление рассылками</w:t>
      </w:r>
    </w:p>
    <w:p>
      <w:pPr>
        <w:pStyle w:val="FirstParagraph"/>
      </w:pPr>
      <w:r>
        <w:t xml:space="preserve">В разделе «Рассылки» доступны:</w:t>
      </w:r>
    </w:p>
    <w:p>
      <w:pPr>
        <w:pStyle w:val="Compact"/>
        <w:numPr>
          <w:ilvl w:val="0"/>
          <w:numId w:val="1016"/>
        </w:numPr>
      </w:pPr>
      <w:r>
        <w:t xml:space="preserve">включение и выключение рассылки;</w:t>
      </w:r>
    </w:p>
    <w:p>
      <w:pPr>
        <w:pStyle w:val="Compact"/>
        <w:numPr>
          <w:ilvl w:val="0"/>
          <w:numId w:val="1016"/>
        </w:numPr>
      </w:pPr>
      <w:r>
        <w:t xml:space="preserve">изменение параметров рассылки;</w:t>
      </w:r>
    </w:p>
    <w:p>
      <w:pPr>
        <w:pStyle w:val="Compact"/>
        <w:numPr>
          <w:ilvl w:val="0"/>
          <w:numId w:val="1016"/>
        </w:numPr>
      </w:pPr>
      <w:r>
        <w:t xml:space="preserve">просмотр истории отправок;</w:t>
      </w:r>
    </w:p>
    <w:p>
      <w:pPr>
        <w:pStyle w:val="Compact"/>
        <w:numPr>
          <w:ilvl w:val="0"/>
          <w:numId w:val="1016"/>
        </w:numPr>
      </w:pPr>
      <w:r>
        <w:t xml:space="preserve">удаление рассылки.</w:t>
      </w:r>
    </w:p>
    <w:p>
      <w:pPr>
        <w:pStyle w:val="FirstParagraph"/>
      </w:pPr>
      <w:r>
        <w:t xml:space="preserve">Уведомления внутри Системы отображаются индикатором в верхней панели главного экрана.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справочники"/>
    <w:p>
      <w:pPr>
        <w:pStyle w:val="Heading2"/>
      </w:pPr>
      <w:r>
        <w:t xml:space="preserve">7. Справочники</w:t>
      </w:r>
    </w:p>
    <w:bookmarkStart w:id="43" w:name="назначение-2"/>
    <w:p>
      <w:pPr>
        <w:pStyle w:val="Heading3"/>
      </w:pPr>
      <w:r>
        <w:t xml:space="preserve">7.1. Назначение</w:t>
      </w:r>
    </w:p>
    <w:p>
      <w:pPr>
        <w:pStyle w:val="FirstParagraph"/>
      </w:pPr>
      <w:r>
        <w:t xml:space="preserve">Справочники обеспечивают ввод корректных значений в условия поиска и фильтры за счёт выбора из предопределённых классификаторов. Использование справочников исключает ошибки ручного ввода, повышает точность поиска и служит источником значений при фасетной навигации.</w:t>
      </w:r>
    </w:p>
    <w:bookmarkEnd w:id="43"/>
    <w:bookmarkStart w:id="44" w:name="доступные-справочники"/>
    <w:p>
      <w:pPr>
        <w:pStyle w:val="Heading3"/>
      </w:pPr>
      <w:r>
        <w:t xml:space="preserve">7.2. Доступные справочники</w:t>
      </w:r>
    </w:p>
    <w:p>
      <w:pPr>
        <w:pStyle w:val="FirstParagraph"/>
      </w:pPr>
      <w:r>
        <w:t xml:space="preserve">В состав Системы входят, в частности, следующие справочники: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Классификаторы продукции:</w:t>
      </w:r>
      <w:r>
        <w:t xml:space="preserve"> </w:t>
      </w:r>
      <w:r>
        <w:t xml:space="preserve">ОКПД2 (Общероссийский классификатор продукции по видам экономической деятельности), ОКПД, ОКДП;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КТРУ</w:t>
      </w:r>
      <w:r>
        <w:t xml:space="preserve"> </w:t>
      </w:r>
      <w:r>
        <w:t xml:space="preserve">— каталог товаров, работ, услуг для обеспечения государственных и муниципальных нужд;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Территориальные справочники:</w:t>
      </w:r>
      <w:r>
        <w:t xml:space="preserve"> </w:t>
      </w:r>
      <w:r>
        <w:t xml:space="preserve">регионы (субъекты Российской Федерации), федеральные округа;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Справочники контрагентов:</w:t>
      </w:r>
      <w:r>
        <w:t xml:space="preserve"> </w:t>
      </w:r>
      <w:r>
        <w:t xml:space="preserve">заказчики, поставщики, корпорации;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Отраслевые справочники:</w:t>
      </w:r>
      <w:r>
        <w:t xml:space="preserve"> </w:t>
      </w:r>
      <w:r>
        <w:t xml:space="preserve">отрасли, разделы, этапы;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Медицинские справочники:</w:t>
      </w:r>
    </w:p>
    <w:p>
      <w:pPr>
        <w:pStyle w:val="Compact"/>
        <w:numPr>
          <w:ilvl w:val="1"/>
          <w:numId w:val="1018"/>
        </w:numPr>
      </w:pPr>
      <w:r>
        <w:t xml:space="preserve">МНН (международные непатентованные наименования лекарственных препаратов);</w:t>
      </w:r>
    </w:p>
    <w:p>
      <w:pPr>
        <w:pStyle w:val="Compact"/>
        <w:numPr>
          <w:ilvl w:val="1"/>
          <w:numId w:val="1018"/>
        </w:numPr>
      </w:pPr>
      <w:r>
        <w:t xml:space="preserve">лекарственные формы и дозировки;</w:t>
      </w:r>
    </w:p>
    <w:p>
      <w:pPr>
        <w:pStyle w:val="Compact"/>
        <w:numPr>
          <w:ilvl w:val="1"/>
          <w:numId w:val="1018"/>
        </w:numPr>
      </w:pPr>
      <w:r>
        <w:t xml:space="preserve">ЕСКЛП (единый структурированный справочник-каталог лекарственных препаратов);</w:t>
      </w:r>
    </w:p>
    <w:p>
      <w:pPr>
        <w:pStyle w:val="Compact"/>
        <w:numPr>
          <w:ilvl w:val="1"/>
          <w:numId w:val="1018"/>
        </w:numPr>
      </w:pPr>
      <w:r>
        <w:t xml:space="preserve">АТХ (анатомо-терапевтическо-химическая классификация);</w:t>
      </w:r>
    </w:p>
    <w:p>
      <w:pPr>
        <w:pStyle w:val="Compact"/>
        <w:numPr>
          <w:ilvl w:val="1"/>
          <w:numId w:val="1018"/>
        </w:numPr>
      </w:pPr>
      <w:r>
        <w:t xml:space="preserve">EphMRA;</w:t>
      </w:r>
    </w:p>
    <w:p>
      <w:pPr>
        <w:pStyle w:val="Compact"/>
        <w:numPr>
          <w:ilvl w:val="1"/>
          <w:numId w:val="1018"/>
        </w:numPr>
      </w:pPr>
      <w:r>
        <w:t xml:space="preserve">торговые наименования лекарственных препаратов;</w:t>
      </w:r>
    </w:p>
    <w:p>
      <w:pPr>
        <w:pStyle w:val="Compact"/>
        <w:numPr>
          <w:ilvl w:val="1"/>
          <w:numId w:val="1018"/>
        </w:numPr>
      </w:pPr>
      <w:r>
        <w:t xml:space="preserve">производители;</w:t>
      </w:r>
    </w:p>
    <w:p>
      <w:pPr>
        <w:pStyle w:val="Compact"/>
        <w:numPr>
          <w:ilvl w:val="1"/>
          <w:numId w:val="1018"/>
        </w:numPr>
      </w:pPr>
      <w:r>
        <w:t xml:space="preserve">классификация медицинских изделий и виды медицинских изделий;</w:t>
      </w:r>
    </w:p>
    <w:p>
      <w:pPr>
        <w:pStyle w:val="Compact"/>
        <w:numPr>
          <w:ilvl w:val="1"/>
          <w:numId w:val="1018"/>
        </w:numPr>
      </w:pPr>
      <w:r>
        <w:t xml:space="preserve">номенклатура;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Справочники полей реестров и меток извещений</w:t>
      </w:r>
      <w:r>
        <w:t xml:space="preserve"> </w:t>
      </w:r>
      <w:r>
        <w:t xml:space="preserve">— для настройки состава выводимых данных и пометки записей.</w:t>
      </w:r>
    </w:p>
    <w:bookmarkEnd w:id="44"/>
    <w:bookmarkStart w:id="45" w:name="порядок-использования"/>
    <w:p>
      <w:pPr>
        <w:pStyle w:val="Heading3"/>
      </w:pPr>
      <w:r>
        <w:t xml:space="preserve">7.3. Порядок использования</w:t>
      </w:r>
    </w:p>
    <w:p>
      <w:pPr>
        <w:pStyle w:val="Compact"/>
        <w:numPr>
          <w:ilvl w:val="0"/>
          <w:numId w:val="1019"/>
        </w:numPr>
      </w:pPr>
      <w:r>
        <w:t xml:space="preserve">В поле условия фильтра, связанном со справочником, нажмите кнопку выбора (значок списка или лупы).</w:t>
      </w:r>
    </w:p>
    <w:p>
      <w:pPr>
        <w:pStyle w:val="Compact"/>
        <w:numPr>
          <w:ilvl w:val="0"/>
          <w:numId w:val="1019"/>
        </w:numPr>
      </w:pPr>
      <w:r>
        <w:t xml:space="preserve">В открывшемся окне справочника выполните поиск нужного значения по наименованию или коду.</w:t>
      </w:r>
    </w:p>
    <w:p>
      <w:pPr>
        <w:pStyle w:val="Compact"/>
        <w:numPr>
          <w:ilvl w:val="0"/>
          <w:numId w:val="1019"/>
        </w:numPr>
      </w:pPr>
      <w:r>
        <w:t xml:space="preserve">Отметьте одно или несколько значений и нажмите «Выбрать».</w:t>
      </w:r>
    </w:p>
    <w:p>
      <w:pPr>
        <w:pStyle w:val="Compact"/>
        <w:numPr>
          <w:ilvl w:val="0"/>
          <w:numId w:val="1019"/>
        </w:numPr>
      </w:pPr>
      <w:r>
        <w:t xml:space="preserve">Выбранные значения подставляются в условие фильтра.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9" w:name="экспорт-результатов-в-excel-xlsx"/>
    <w:p>
      <w:pPr>
        <w:pStyle w:val="Heading2"/>
      </w:pPr>
      <w:r>
        <w:t xml:space="preserve">8. Экспорт результатов в Excel (XLSX)</w:t>
      </w:r>
    </w:p>
    <w:bookmarkStart w:id="47" w:name="назначение-3"/>
    <w:p>
      <w:pPr>
        <w:pStyle w:val="Heading3"/>
      </w:pPr>
      <w:r>
        <w:t xml:space="preserve">8.1. Назначение</w:t>
      </w:r>
    </w:p>
    <w:p>
      <w:pPr>
        <w:pStyle w:val="FirstParagraph"/>
      </w:pPr>
      <w:r>
        <w:t xml:space="preserve">Функция экспорта позволяет выгрузить результаты поиска в файл формата Microsoft Excel (XLSX) для последующей обработки, анализа во внешних инструментах, формирования отчётности и хранения.</w:t>
      </w:r>
    </w:p>
    <w:bookmarkEnd w:id="47"/>
    <w:bookmarkStart w:id="48" w:name="порядок-экспорта"/>
    <w:p>
      <w:pPr>
        <w:pStyle w:val="Heading3"/>
      </w:pPr>
      <w:r>
        <w:t xml:space="preserve">8.2. Порядок экспорта</w:t>
      </w:r>
    </w:p>
    <w:p>
      <w:pPr>
        <w:pStyle w:val="Compact"/>
        <w:numPr>
          <w:ilvl w:val="0"/>
          <w:numId w:val="1020"/>
        </w:numPr>
      </w:pPr>
      <w:r>
        <w:t xml:space="preserve">Выполните поиск и при необходимости примените фильтр.</w:t>
      </w:r>
    </w:p>
    <w:p>
      <w:pPr>
        <w:pStyle w:val="Compact"/>
        <w:numPr>
          <w:ilvl w:val="0"/>
          <w:numId w:val="1020"/>
        </w:numPr>
      </w:pPr>
      <w:r>
        <w:t xml:space="preserve">Над списком результатов нажмите кнопку «Экспорт в Excel».</w:t>
      </w:r>
    </w:p>
    <w:p>
      <w:pPr>
        <w:pStyle w:val="Compact"/>
        <w:numPr>
          <w:ilvl w:val="0"/>
          <w:numId w:val="1020"/>
        </w:numPr>
      </w:pPr>
      <w:r>
        <w:t xml:space="preserve">При необходимости укажите состав выгружаемых столбцов и объём выгрузки (текущая страница либо весь результат — в пределах ограничений Системы).</w:t>
      </w:r>
    </w:p>
    <w:p>
      <w:pPr>
        <w:pStyle w:val="Compact"/>
        <w:numPr>
          <w:ilvl w:val="0"/>
          <w:numId w:val="1020"/>
        </w:numPr>
      </w:pPr>
      <w:r>
        <w:t xml:space="preserve">Подтвердите экспорт. Система сформирует файл XLSX и предложит сохранить его на рабочее место.</w:t>
      </w:r>
    </w:p>
    <w:p>
      <w:pPr>
        <w:pStyle w:val="BlockText"/>
      </w:pPr>
      <w:r>
        <w:t xml:space="preserve">При значительном объёме данных формирование файла может занять некоторое время. Не закрывайте вкладку браузера до завершения выгрузки.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3" w:name="управление-учётной-записью"/>
    <w:p>
      <w:pPr>
        <w:pStyle w:val="Heading2"/>
      </w:pPr>
      <w:r>
        <w:t xml:space="preserve">9. Управление учётной записью</w:t>
      </w:r>
    </w:p>
    <w:bookmarkStart w:id="50" w:name="сведения-учётной-записи"/>
    <w:p>
      <w:pPr>
        <w:pStyle w:val="Heading3"/>
      </w:pPr>
      <w:r>
        <w:t xml:space="preserve">9.1. Сведения учётной записи</w:t>
      </w:r>
    </w:p>
    <w:p>
      <w:pPr>
        <w:pStyle w:val="FirstParagraph"/>
      </w:pPr>
      <w:r>
        <w:t xml:space="preserve">В разделе «Профиль» (личный кабинет) пользователю доступны:</w:t>
      </w:r>
    </w:p>
    <w:p>
      <w:pPr>
        <w:pStyle w:val="Compact"/>
        <w:numPr>
          <w:ilvl w:val="0"/>
          <w:numId w:val="1021"/>
        </w:numPr>
      </w:pPr>
      <w:r>
        <w:t xml:space="preserve">просмотр сведений об учётной записи (имя пользователя, организация, адрес электронной почты);</w:t>
      </w:r>
    </w:p>
    <w:p>
      <w:pPr>
        <w:pStyle w:val="Compact"/>
        <w:numPr>
          <w:ilvl w:val="0"/>
          <w:numId w:val="1021"/>
        </w:numPr>
      </w:pPr>
      <w:r>
        <w:t xml:space="preserve">просмотр предоставленных прав доступа (доступные реестры и функции);</w:t>
      </w:r>
    </w:p>
    <w:p>
      <w:pPr>
        <w:pStyle w:val="Compact"/>
        <w:numPr>
          <w:ilvl w:val="0"/>
          <w:numId w:val="1021"/>
        </w:numPr>
      </w:pPr>
      <w:r>
        <w:t xml:space="preserve">изменение пароля;</w:t>
      </w:r>
    </w:p>
    <w:p>
      <w:pPr>
        <w:pStyle w:val="Compact"/>
        <w:numPr>
          <w:ilvl w:val="0"/>
          <w:numId w:val="1021"/>
        </w:numPr>
      </w:pPr>
      <w:r>
        <w:t xml:space="preserve">настройка личных параметров отображения и уведомлений;</w:t>
      </w:r>
    </w:p>
    <w:p>
      <w:pPr>
        <w:pStyle w:val="Compact"/>
        <w:numPr>
          <w:ilvl w:val="0"/>
          <w:numId w:val="1021"/>
        </w:numPr>
      </w:pPr>
      <w:r>
        <w:t xml:space="preserve">доступ к сохранённым фильтрам и настройкам рассылок.</w:t>
      </w:r>
    </w:p>
    <w:bookmarkEnd w:id="50"/>
    <w:bookmarkStart w:id="51" w:name="изменение-пароля"/>
    <w:p>
      <w:pPr>
        <w:pStyle w:val="Heading3"/>
      </w:pPr>
      <w:r>
        <w:t xml:space="preserve">9.2. Изменение пароля</w:t>
      </w:r>
    </w:p>
    <w:p>
      <w:pPr>
        <w:pStyle w:val="Compact"/>
        <w:numPr>
          <w:ilvl w:val="0"/>
          <w:numId w:val="1022"/>
        </w:numPr>
      </w:pPr>
      <w:r>
        <w:t xml:space="preserve">Откройте раздел «Профиль».</w:t>
      </w:r>
    </w:p>
    <w:p>
      <w:pPr>
        <w:pStyle w:val="Compact"/>
        <w:numPr>
          <w:ilvl w:val="0"/>
          <w:numId w:val="1022"/>
        </w:numPr>
      </w:pPr>
      <w:r>
        <w:t xml:space="preserve">Выберите пункт «Сменить пароль».</w:t>
      </w:r>
    </w:p>
    <w:p>
      <w:pPr>
        <w:pStyle w:val="Compact"/>
        <w:numPr>
          <w:ilvl w:val="0"/>
          <w:numId w:val="1022"/>
        </w:numPr>
      </w:pPr>
      <w:r>
        <w:t xml:space="preserve">Введите текущий пароль, затем дважды — новый пароль.</w:t>
      </w:r>
    </w:p>
    <w:p>
      <w:pPr>
        <w:pStyle w:val="Compact"/>
        <w:numPr>
          <w:ilvl w:val="0"/>
          <w:numId w:val="1022"/>
        </w:numPr>
      </w:pPr>
      <w:r>
        <w:t xml:space="preserve">Сохраните изменения.</w:t>
      </w:r>
    </w:p>
    <w:bookmarkEnd w:id="51"/>
    <w:bookmarkStart w:id="52" w:name="рекомендации-по-паролю"/>
    <w:p>
      <w:pPr>
        <w:pStyle w:val="Heading3"/>
      </w:pPr>
      <w:r>
        <w:t xml:space="preserve">9.3. Рекомендации по паролю</w:t>
      </w:r>
    </w:p>
    <w:p>
      <w:pPr>
        <w:pStyle w:val="Compact"/>
        <w:numPr>
          <w:ilvl w:val="0"/>
          <w:numId w:val="1023"/>
        </w:numPr>
      </w:pPr>
      <w:r>
        <w:t xml:space="preserve">используйте пароль длиной не менее 8 символов;</w:t>
      </w:r>
    </w:p>
    <w:p>
      <w:pPr>
        <w:pStyle w:val="Compact"/>
        <w:numPr>
          <w:ilvl w:val="0"/>
          <w:numId w:val="1023"/>
        </w:numPr>
      </w:pPr>
      <w:r>
        <w:t xml:space="preserve">сочетайте буквы верхнего и нижнего регистра, цифры и специальные символы;</w:t>
      </w:r>
    </w:p>
    <w:p>
      <w:pPr>
        <w:pStyle w:val="Compact"/>
        <w:numPr>
          <w:ilvl w:val="0"/>
          <w:numId w:val="1023"/>
        </w:numPr>
      </w:pPr>
      <w:r>
        <w:t xml:space="preserve">не используйте пароль, применяемый в других сервисах;</w:t>
      </w:r>
    </w:p>
    <w:p>
      <w:pPr>
        <w:pStyle w:val="Compact"/>
        <w:numPr>
          <w:ilvl w:val="0"/>
          <w:numId w:val="1023"/>
        </w:numPr>
      </w:pPr>
      <w:r>
        <w:t xml:space="preserve">не сообщайте пароль третьим лицам и не сохраняйте его в общедоступных местах;</w:t>
      </w:r>
    </w:p>
    <w:p>
      <w:pPr>
        <w:pStyle w:val="Compact"/>
        <w:numPr>
          <w:ilvl w:val="0"/>
          <w:numId w:val="1023"/>
        </w:numPr>
      </w:pPr>
      <w:r>
        <w:t xml:space="preserve">периодически изменяйте пароль.</w:t>
      </w:r>
    </w:p>
    <w:p>
      <w:pPr>
        <w:pStyle w:val="FirstParagraph"/>
      </w:pPr>
      <w:r>
        <w:t xml:space="preserve">Доступ к Системе осуществляется только по защищённому соединению (HTTPS). Обработка персональных данных выполняется в соответствии с Федеральным законом от 27.07.2006 № 152-ФЗ «О персональных данных».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4" w:name="техническая-поддержка"/>
    <w:p>
      <w:pPr>
        <w:pStyle w:val="Heading2"/>
      </w:pPr>
      <w:r>
        <w:t xml:space="preserve">10. Техническая поддержка</w:t>
      </w:r>
    </w:p>
    <w:p>
      <w:pPr>
        <w:pStyle w:val="FirstParagraph"/>
      </w:pPr>
      <w:r>
        <w:t xml:space="preserve">По вопросам работы с Системой обращайтесь в службу технической поддержки ООО «Красофт».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Канал</w:t>
            </w:r>
          </w:p>
        </w:tc>
        <w:tc>
          <w:tcPr/>
          <w:p>
            <w:pPr>
              <w:pStyle w:val="Compact"/>
            </w:pPr>
            <w:r>
              <w:t xml:space="preserve">Реквизиты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Организация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Электронная почта</w:t>
            </w:r>
          </w:p>
        </w:tc>
        <w:tc>
          <w:tcPr/>
          <w:p>
            <w:pPr>
              <w:pStyle w:val="Compact"/>
            </w:pPr>
            <w:r>
              <w:t xml:space="preserve">info@krasoft.ru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Телефон</w:t>
            </w:r>
          </w:p>
        </w:tc>
        <w:tc>
          <w:tcPr/>
          <w:p>
            <w:pPr>
              <w:pStyle w:val="Compact"/>
            </w:pPr>
            <w:r>
              <w:t xml:space="preserve">+7 (495) 540-55-99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Режим работы поддержки</w:t>
            </w:r>
          </w:p>
        </w:tc>
        <w:tc>
          <w:tcPr/>
          <w:p>
            <w:pPr>
              <w:pStyle w:val="Compact"/>
            </w:pPr>
            <w:r>
              <w:t xml:space="preserve">Рабочие дни, 9:00–18:00 (по московскому времени)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для корреспонденции</w:t>
            </w:r>
          </w:p>
        </w:tc>
        <w:tc>
          <w:tcPr/>
          <w:p>
            <w:pPr>
              <w:pStyle w:val="Compact"/>
            </w:pPr>
            <w:r>
              <w:t xml:space="preserve">360001, Кабардино-Балкарская Республика, г. Нальчик, ул. Мечиева, зд. 207а, этаж 4</w:t>
            </w:r>
          </w:p>
        </w:tc>
      </w:tr>
    </w:tbl>
    <w:p>
      <w:pPr>
        <w:pStyle w:val="BodyText"/>
      </w:pPr>
      <w:r>
        <w:t xml:space="preserve">При обращении рекомендуется указывать наименование раздела Системы, последовательность выполненных действий, текст сообщения об ошибке (при наличии) и наименование используемого веб-браузера — это ускорит обработку обращения.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Настоящее Руководство является частью документации, необходимой для эксплуатации программного обеспечения «КРАСОФТ Поиск», и подлежит актуализации при выпуске новых версий ПО. Документ составлен на русском языке. Программное обеспечение и документация не имеют ограничений на использование на всей территории Российской Федерации.</w:t>
      </w:r>
    </w:p>
    <w:bookmarkEnd w:id="54"/>
    <w:bookmarkEnd w:id="55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2026-07-07T16:16:10Z</dcterms:created>
  <dcterms:modified xsi:type="dcterms:W3CDTF">2026-07-07T16:16:10Z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