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5d9ce0b1600e56c49174fbcc42be3763282f6a6"/>
    <w:p>
      <w:pPr>
        <w:pStyle w:val="Heading1"/>
      </w:pPr>
      <w:r>
        <w:t xml:space="preserve">СОПРОВОЖДЕНИЕ ПРОГРАММНОГО ПРОДУКТА «КРАСОФТ Поиск»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Общество с ограниченной ответственностью «Красофт»</w:t>
      </w:r>
      <w:r>
        <w:t xml:space="preserve"> </w:t>
      </w:r>
      <w:r>
        <w:t xml:space="preserve">(ООО «Красофт»)</w:t>
      </w:r>
    </w:p>
    <w:p>
      <w:pPr>
        <w:pStyle w:val="BodyText"/>
      </w:pPr>
      <w:r>
        <w:t xml:space="preserve">ИНН: 9705142730 · ОГРН: 1207700109165 · КПП: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Регистрационный номер в Реестре операторов, осуществляющих обработку персональных данных (Роскомнадзор): № 26-26-052889</w:t>
      </w:r>
      <w:r>
        <w:t xml:space="preserve"> </w:t>
      </w:r>
      <w:r>
        <w:t xml:space="preserve">Телефон: +7 (495) 540-55-99 · Электронная почта: info@krasoft.ru</w:t>
      </w:r>
    </w:p>
    <w:p>
      <w:pPr>
        <w:pStyle w:val="BodyText"/>
      </w:pPr>
      <w:r>
        <w:t xml:space="preserve">Версия документа: 1.0 / Версия программного обеспечения: 1.0</w:t>
      </w:r>
    </w:p>
    <w:p>
      <w:r>
        <w:pict>
          <v:rect style="width:0;height:1.5pt" o:hralign="center" o:hrstd="t" o:hr="t"/>
        </w:pic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 документа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Наименование программного обеспечения</w:t>
            </w:r>
          </w:p>
        </w:tc>
        <w:tc>
          <w:tcPr/>
          <w:p>
            <w:pPr>
              <w:pStyle w:val="Compact"/>
            </w:pPr>
            <w:r>
              <w:t xml:space="preserve">«КРАСОФТ Поиск» (KrasoftSearch)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Вид документа</w:t>
            </w:r>
          </w:p>
        </w:tc>
        <w:tc>
          <w:tcPr/>
          <w:p>
            <w:pPr>
              <w:pStyle w:val="Compact"/>
            </w:pPr>
            <w:r>
              <w:t xml:space="preserve">Документ о сопровождении и технической поддержке программного обеспечения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Правообладатель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Класс ПО по классификатору (Приказ Минцифры России от 22.09.2020 № 486)</w:t>
            </w:r>
          </w:p>
        </w:tc>
        <w:tc>
          <w:tcPr/>
          <w:p>
            <w:pPr>
              <w:pStyle w:val="Compact"/>
            </w:pPr>
            <w:r>
              <w:t xml:space="preserve">«12.20 Информационные системы для решения специфических отраслевых задач»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Каналы технической поддержки</w:t>
            </w:r>
          </w:p>
        </w:tc>
        <w:tc>
          <w:tcPr/>
          <w:p>
            <w:pPr>
              <w:pStyle w:val="Compact"/>
            </w:pPr>
            <w:r>
              <w:t xml:space="preserve">E-mail: info@krasoft.ru; тел.: +7 (495) 540-55-99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13" w:name="общие-сведения-о-сопровождении"/>
    <w:p>
      <w:pPr>
        <w:pStyle w:val="Heading2"/>
      </w:pPr>
      <w:r>
        <w:t xml:space="preserve">1. Общие сведения о сопровождении</w:t>
      </w:r>
    </w:p>
    <w:bookmarkStart w:id="9" w:name="назначение-документа"/>
    <w:p>
      <w:pPr>
        <w:pStyle w:val="Heading3"/>
      </w:pPr>
      <w:r>
        <w:t xml:space="preserve">1.1. Назначение документа</w:t>
      </w:r>
    </w:p>
    <w:p>
      <w:pPr>
        <w:pStyle w:val="FirstParagraph"/>
      </w:pPr>
      <w:r>
        <w:t xml:space="preserve">Настоящий документ определяет порядок сопровождения и технической поддержки программного обеспечения «КРАСОФТ Поиск» (латинское наименование — KrasoftSearch; далее — ПО, Система, «КРАСОФТ Поиск»), правообладателем которого является Общество с ограниченной ответственностью «Красофт» (далее — Правообладатель, ООО «Красофт»).</w:t>
      </w:r>
    </w:p>
    <w:p>
      <w:pPr>
        <w:pStyle w:val="BodyText"/>
      </w:pPr>
      <w:r>
        <w:t xml:space="preserve">Документ подготовлен в составе документации, необходимой для эксплуатации программного обеспечения, в соответствии с подпунктом «д» пункта 5 Правил формирования и ведения единого реестра российских программ для электронных вычислительных машин и баз данных, утверждённых постановлением Правительства Российской Федерации от 16 ноября 2015 г. № 1236, и раскрывает организацию процессов, обеспечивающих поддержание жизненного цикла Программного обеспечения на всём протяжении его эксплуатации.</w:t>
      </w:r>
    </w:p>
    <w:bookmarkEnd w:id="9"/>
    <w:bookmarkStart w:id="10" w:name="предмет-и-содержание-сопровождения"/>
    <w:p>
      <w:pPr>
        <w:pStyle w:val="Heading3"/>
      </w:pPr>
      <w:r>
        <w:t xml:space="preserve">1.2. Предмет и содержание сопровождения</w:t>
      </w:r>
    </w:p>
    <w:p>
      <w:pPr>
        <w:pStyle w:val="FirstParagraph"/>
      </w:pPr>
      <w:r>
        <w:t xml:space="preserve">Сопровождение Программного обеспечения обеспечивается Правообладателем на протяжении всего срока эксплуатации ПО и включает следующие взаимосвязанные процессы:</w:t>
      </w:r>
    </w:p>
    <w:p>
      <w:pPr>
        <w:pStyle w:val="Compact"/>
        <w:numPr>
          <w:ilvl w:val="0"/>
          <w:numId w:val="1001"/>
        </w:numPr>
      </w:pPr>
      <w:r>
        <w:t xml:space="preserve">приём и обработку обращений пользователей (управление инцидентами и запросами на обслуживание);</w:t>
      </w:r>
    </w:p>
    <w:p>
      <w:pPr>
        <w:pStyle w:val="Compact"/>
        <w:numPr>
          <w:ilvl w:val="0"/>
          <w:numId w:val="1001"/>
        </w:numPr>
      </w:pPr>
      <w:r>
        <w:t xml:space="preserve">устранение неисправностей, выявленных в ходе эксплуатации;</w:t>
      </w:r>
    </w:p>
    <w:p>
      <w:pPr>
        <w:pStyle w:val="Compact"/>
        <w:numPr>
          <w:ilvl w:val="0"/>
          <w:numId w:val="1001"/>
        </w:numPr>
      </w:pPr>
      <w:r>
        <w:t xml:space="preserve">выпуск обновлений (релиз-менеджмент) и совершенствование (развитие) Программного обеспечения;</w:t>
      </w:r>
    </w:p>
    <w:p>
      <w:pPr>
        <w:pStyle w:val="Compact"/>
        <w:numPr>
          <w:ilvl w:val="0"/>
          <w:numId w:val="1001"/>
        </w:numPr>
      </w:pPr>
      <w:r>
        <w:t xml:space="preserve">резервное копирование и восстановление данных;</w:t>
      </w:r>
    </w:p>
    <w:p>
      <w:pPr>
        <w:pStyle w:val="Compact"/>
        <w:numPr>
          <w:ilvl w:val="0"/>
          <w:numId w:val="1001"/>
        </w:numPr>
      </w:pPr>
      <w:r>
        <w:t xml:space="preserve">обеспечение информационной безопасности при сопровождении;</w:t>
      </w:r>
    </w:p>
    <w:p>
      <w:pPr>
        <w:pStyle w:val="Compact"/>
        <w:numPr>
          <w:ilvl w:val="0"/>
          <w:numId w:val="1001"/>
        </w:numPr>
      </w:pPr>
      <w:r>
        <w:t xml:space="preserve">поддержание эксплуатационной документации в актуальном состоянии.</w:t>
      </w:r>
    </w:p>
    <w:p>
      <w:pPr>
        <w:pStyle w:val="FirstParagraph"/>
      </w:pPr>
      <w:r>
        <w:t xml:space="preserve">Перечисленные процессы регламентированы внутренними организационно-распорядительными документами Общества и реализуются силами штатных специалистов Правообладателя с использованием собственной программно-технической инфраструктуры.</w:t>
      </w:r>
    </w:p>
    <w:bookmarkEnd w:id="10"/>
    <w:bookmarkStart w:id="11" w:name="Xe8880a7a6641cede32582d328b4e69c07b209e3"/>
    <w:p>
      <w:pPr>
        <w:pStyle w:val="Heading3"/>
      </w:pPr>
      <w:r>
        <w:t xml:space="preserve">1.3. Модель предоставления и условия сопровождения</w:t>
      </w:r>
    </w:p>
    <w:p>
      <w:pPr>
        <w:pStyle w:val="FirstParagraph"/>
      </w:pPr>
      <w:r>
        <w:t xml:space="preserve">Программное обеспечение предоставляется по модели «программное обеспечение как услуга» (SaaS / подписка). Обновление Программного обеспечения производится централизованно силами Правообладателя на серверной инфраструктуре; от пользователей не требуется самостоятельная установка обновлений.</w:t>
      </w:r>
    </w:p>
    <w:p>
      <w:pPr>
        <w:pStyle w:val="BodyText"/>
      </w:pPr>
      <w:r>
        <w:t xml:space="preserve">Сопровождение осуществляется на территории Российской Федерации; серверная инфраструктура размещена на территории Российской Федерации. Работоспособность Программного обеспечения не зависит от иностранных лиц и иностранной инфраструктуры; принудительное обновление и управление Программным обеспечением из-за рубежа отсутствуют.</w:t>
      </w:r>
    </w:p>
    <w:bookmarkEnd w:id="11"/>
    <w:bookmarkStart w:id="12" w:name="Xfacea9e5ffc5893d8a76e0445e42c44dae7f9bd"/>
    <w:p>
      <w:pPr>
        <w:pStyle w:val="Heading3"/>
      </w:pPr>
      <w:r>
        <w:t xml:space="preserve">1.4. Технологическая основа Программного обеспечения</w:t>
      </w:r>
    </w:p>
    <w:p>
      <w:pPr>
        <w:pStyle w:val="FirstParagraph"/>
      </w:pPr>
      <w:r>
        <w:t xml:space="preserve">Программное обеспечение построено по клиент-серверной (веб) архитектуре с использованием следующих технологий и компонентов:</w:t>
      </w:r>
    </w:p>
    <w:p>
      <w:pPr>
        <w:pStyle w:val="Compact"/>
        <w:numPr>
          <w:ilvl w:val="0"/>
          <w:numId w:val="1002"/>
        </w:numPr>
      </w:pPr>
      <w:r>
        <w:t xml:space="preserve">серверная часть (backend) — платформа .NET (ASP.NET Core); доступ к данным осуществляется к реляционной СУБД, провайдер которой выбирается параметрами конфигурации при развёртывании (на выбор: PostgreSQL, Postgres Pro или Microsoft SQL Server);</w:t>
      </w:r>
    </w:p>
    <w:p>
      <w:pPr>
        <w:pStyle w:val="Compact"/>
        <w:numPr>
          <w:ilvl w:val="0"/>
          <w:numId w:val="1002"/>
        </w:numPr>
      </w:pPr>
      <w:r>
        <w:t xml:space="preserve">поисковая подсистема (полнотекстовый индекс) — на выбор: ClickHouse или Elasticsearch; конкретный провайдер выбирается параметрами конфигурации при развёртывании;</w:t>
      </w:r>
    </w:p>
    <w:p>
      <w:pPr>
        <w:pStyle w:val="Compact"/>
        <w:numPr>
          <w:ilvl w:val="0"/>
          <w:numId w:val="1002"/>
        </w:numPr>
      </w:pPr>
      <w:r>
        <w:t xml:space="preserve">клиентская часть (frontend) — Next.js / React / TypeScript (среда исполнения Node.js);</w:t>
      </w:r>
    </w:p>
    <w:p>
      <w:pPr>
        <w:pStyle w:val="Compact"/>
        <w:numPr>
          <w:ilvl w:val="0"/>
          <w:numId w:val="1002"/>
        </w:numPr>
      </w:pPr>
      <w:r>
        <w:t xml:space="preserve">обратный прокси-сервер — nginx;</w:t>
      </w:r>
    </w:p>
    <w:p>
      <w:pPr>
        <w:pStyle w:val="Compact"/>
        <w:numPr>
          <w:ilvl w:val="0"/>
          <w:numId w:val="1002"/>
        </w:numPr>
      </w:pPr>
      <w:r>
        <w:t xml:space="preserve">среда исполнения серверной части — операционная система семейства Linux, включая отечественную ОС Astra Linux;</w:t>
      </w:r>
    </w:p>
    <w:p>
      <w:pPr>
        <w:pStyle w:val="Compact"/>
        <w:numPr>
          <w:ilvl w:val="0"/>
          <w:numId w:val="1002"/>
        </w:numPr>
      </w:pPr>
      <w:r>
        <w:t xml:space="preserve">механизм аутентификации и авторизации — JSON Web Token (JWT).</w:t>
      </w:r>
    </w:p>
    <w:p>
      <w:pPr>
        <w:pStyle w:val="FirstParagraph"/>
      </w:pPr>
      <w:r>
        <w:t xml:space="preserve">В составе Программного обеспечения использованы исключительно свободно распространяемые библиотеки с пермиссивными лицензиями. Проприетарные иностранные компоненты, требующие приобретения платных лицензий у иностранных правообладателей, в составе ПО отсутствуют.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организация-технической-поддержки"/>
    <w:p>
      <w:pPr>
        <w:pStyle w:val="Heading2"/>
      </w:pPr>
      <w:r>
        <w:t xml:space="preserve">2. Организация технической поддержки</w:t>
      </w:r>
    </w:p>
    <w:bookmarkStart w:id="14" w:name="каналы-обращений"/>
    <w:p>
      <w:pPr>
        <w:pStyle w:val="Heading3"/>
      </w:pPr>
      <w:r>
        <w:t xml:space="preserve">2.1. Каналы обращений</w:t>
      </w:r>
    </w:p>
    <w:p>
      <w:pPr>
        <w:pStyle w:val="FirstParagraph"/>
      </w:pPr>
      <w:r>
        <w:t xml:space="preserve">Приём обращений пользователей (сообщений о неисправностях, запросов на консультацию, предложений по развитию) осуществляется по следующим каналам: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Канал</w:t>
            </w:r>
          </w:p>
        </w:tc>
        <w:tc>
          <w:tcPr/>
          <w:p>
            <w:pPr>
              <w:pStyle w:val="Compact"/>
            </w:pPr>
            <w:r>
              <w:t xml:space="preserve">Реквизиты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Организация</w:t>
            </w:r>
          </w:p>
        </w:tc>
        <w:tc>
          <w:tcPr/>
          <w:p>
            <w:pPr>
              <w:pStyle w:val="Compact"/>
            </w:pPr>
            <w:r>
              <w:t xml:space="preserve">ООО «Красофт»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Электронная почта</w:t>
            </w:r>
          </w:p>
        </w:tc>
        <w:tc>
          <w:tcPr/>
          <w:p>
            <w:pPr>
              <w:pStyle w:val="Compact"/>
            </w:pPr>
            <w:r>
              <w:t xml:space="preserve">info@krasoft.ru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Телефон</w:t>
            </w:r>
          </w:p>
        </w:tc>
        <w:tc>
          <w:tcPr/>
          <w:p>
            <w:pPr>
              <w:pStyle w:val="Compact"/>
            </w:pPr>
            <w:r>
              <w:t xml:space="preserve">+7 (495) 540-55-99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для корреспонденции</w:t>
            </w:r>
          </w:p>
        </w:tc>
        <w:tc>
          <w:tcPr/>
          <w:p>
            <w:pPr>
              <w:pStyle w:val="Compact"/>
            </w:pPr>
            <w:r>
              <w:t xml:space="preserve">360001, Кабардино-Балкарская Республика, г. Нальчик, ул. Мечиева, зд. 207а, этаж 4</w:t>
            </w:r>
          </w:p>
        </w:tc>
      </w:tr>
    </w:tbl>
    <w:bookmarkEnd w:id="14"/>
    <w:bookmarkStart w:id="15" w:name="режим-работы"/>
    <w:p>
      <w:pPr>
        <w:pStyle w:val="Heading3"/>
      </w:pPr>
      <w:r>
        <w:t xml:space="preserve">2.2. Режим работы</w:t>
      </w:r>
    </w:p>
    <w:p>
      <w:pPr>
        <w:pStyle w:val="FirstParagraph"/>
      </w:pPr>
      <w:r>
        <w:t xml:space="preserve">Режим работы технической поддержки: рабочие дни, с 9:00 до 18:00 по московскому времени. Обращения, поступившие по электронной почте, принимаются круглосуточно и регистрируются в порядке очереди поступления; их обработка выполняется в рабочее время.</w:t>
      </w:r>
    </w:p>
    <w:bookmarkEnd w:id="15"/>
    <w:bookmarkStart w:id="16" w:name="демонстрационный-доступ"/>
    <w:p>
      <w:pPr>
        <w:pStyle w:val="Heading3"/>
      </w:pPr>
      <w:r>
        <w:t xml:space="preserve">2.3. Демонстрационный доступ</w:t>
      </w:r>
    </w:p>
    <w:p>
      <w:pPr>
        <w:pStyle w:val="FirstParagraph"/>
      </w:pPr>
      <w:r>
        <w:t xml:space="preserve">Для проверки функциональных возможностей Программного обеспечения предоставляется демонстрационный доступ. Учётные данные демонстрационного доступа предоставляются по запросу (обращение на info@krasoft.ru).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1" w:name="порядок-приёма-и-обработки-обращений"/>
    <w:p>
      <w:pPr>
        <w:pStyle w:val="Heading2"/>
      </w:pPr>
      <w:r>
        <w:t xml:space="preserve">3. Порядок приёма и обработки обращений</w:t>
      </w:r>
    </w:p>
    <w:bookmarkStart w:id="18" w:name="регистрация-обращений"/>
    <w:p>
      <w:pPr>
        <w:pStyle w:val="Heading3"/>
      </w:pPr>
      <w:r>
        <w:t xml:space="preserve">3.1. Регистрация обращений</w:t>
      </w:r>
    </w:p>
    <w:p>
      <w:pPr>
        <w:pStyle w:val="FirstParagraph"/>
      </w:pPr>
      <w:r>
        <w:t xml:space="preserve">Каждое поступившее обращение регистрируется во внутренней системе учёта обращений Правообладателя с присвоением уникального регистрационного номера и фиксацией:</w:t>
      </w:r>
    </w:p>
    <w:p>
      <w:pPr>
        <w:pStyle w:val="Compact"/>
        <w:numPr>
          <w:ilvl w:val="0"/>
          <w:numId w:val="1003"/>
        </w:numPr>
      </w:pPr>
      <w:r>
        <w:t xml:space="preserve">даты и времени поступления обращения;</w:t>
      </w:r>
    </w:p>
    <w:p>
      <w:pPr>
        <w:pStyle w:val="Compact"/>
        <w:numPr>
          <w:ilvl w:val="0"/>
          <w:numId w:val="1003"/>
        </w:numPr>
      </w:pPr>
      <w:r>
        <w:t xml:space="preserve">содержания обращения (описание проблемы, запроса или предложения);</w:t>
      </w:r>
    </w:p>
    <w:p>
      <w:pPr>
        <w:pStyle w:val="Compact"/>
        <w:numPr>
          <w:ilvl w:val="0"/>
          <w:numId w:val="1003"/>
        </w:numPr>
      </w:pPr>
      <w:r>
        <w:t xml:space="preserve">контактных данных заявителя и канала обратной связи.</w:t>
      </w:r>
    </w:p>
    <w:bookmarkEnd w:id="18"/>
    <w:bookmarkStart w:id="19" w:name="классификация-обращений"/>
    <w:p>
      <w:pPr>
        <w:pStyle w:val="Heading3"/>
      </w:pPr>
      <w:r>
        <w:t xml:space="preserve">3.2. Классификация обращений</w:t>
      </w:r>
    </w:p>
    <w:p>
      <w:pPr>
        <w:pStyle w:val="FirstParagraph"/>
      </w:pPr>
      <w:r>
        <w:t xml:space="preserve">По результатам первичного анализа обращению присваивается категория (сообщение о неисправности, запрос на консультацию, предложение по развитию) и уровень критичности. Классификация уровней критичности приведена в таблице: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 критичности</w:t>
            </w:r>
          </w:p>
        </w:tc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</w:pPr>
            <w:r>
              <w:t xml:space="preserve">Примеры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Критический</w:t>
            </w:r>
          </w:p>
        </w:tc>
        <w:tc>
          <w:tcPr/>
          <w:p>
            <w:pPr>
              <w:pStyle w:val="Compact"/>
            </w:pPr>
            <w:r>
              <w:t xml:space="preserve">Полная неработоспособность сервиса или ключевой функции, недоступность для всех пользователей</w:t>
            </w:r>
          </w:p>
        </w:tc>
        <w:tc>
          <w:tcPr/>
          <w:p>
            <w:pPr>
              <w:pStyle w:val="Compact"/>
            </w:pPr>
            <w:r>
              <w:t xml:space="preserve">Сервис недоступен, невозможен вход, отказ поискового слоя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</w:pPr>
            <w:r>
              <w:t xml:space="preserve">Существенное нарушение работы функции при наличии частичной работоспособности</w:t>
            </w:r>
          </w:p>
        </w:tc>
        <w:tc>
          <w:tcPr/>
          <w:p>
            <w:pPr>
              <w:pStyle w:val="Compact"/>
            </w:pPr>
            <w:r>
              <w:t xml:space="preserve">Не выполняется поиск по отдельному реестру, не отправляются уведомления по фильтрам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</w:pPr>
            <w:r>
              <w:t xml:space="preserve">Частичное нарушение работы, не препятствующее основной эксплуатации; имеется обходное решение</w:t>
            </w:r>
          </w:p>
        </w:tc>
        <w:tc>
          <w:tcPr/>
          <w:p>
            <w:pPr>
              <w:pStyle w:val="Compact"/>
            </w:pPr>
            <w:r>
              <w:t xml:space="preserve">Некорректное отображение отдельных данных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</w:pPr>
            <w:r>
              <w:t xml:space="preserve">Незначительные замечания, предложения по улучшению, консультационные вопросы</w:t>
            </w:r>
          </w:p>
        </w:tc>
        <w:tc>
          <w:tcPr/>
          <w:p>
            <w:pPr>
              <w:pStyle w:val="Compact"/>
            </w:pPr>
            <w:r>
              <w:t xml:space="preserve">Вопросы по работе с фильтрами, предложения по интерфейсу</w:t>
            </w:r>
          </w:p>
        </w:tc>
      </w:tr>
    </w:tbl>
    <w:bookmarkEnd w:id="19"/>
    <w:bookmarkStart w:id="20" w:name="информирование-заявителя"/>
    <w:p>
      <w:pPr>
        <w:pStyle w:val="Heading3"/>
      </w:pPr>
      <w:r>
        <w:t xml:space="preserve">3.3. Информирование заявителя</w:t>
      </w:r>
    </w:p>
    <w:p>
      <w:pPr>
        <w:pStyle w:val="FirstParagraph"/>
      </w:pPr>
      <w:r>
        <w:t xml:space="preserve">Заявитель информируется о ходе обработки обращения и о его результате по каналу, указанному в обращении. По факту устранения неисправности или выполнения запроса обращение закрывается с уведомлением заявителя.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df74448533e078e66fc998ce0bd75ff38c0a2fa"/>
    <w:p>
      <w:pPr>
        <w:pStyle w:val="Heading2"/>
      </w:pPr>
      <w:r>
        <w:t xml:space="preserve">4. Уровни критичности и целевые сроки реакции и устранения (SLA)</w:t>
      </w:r>
    </w:p>
    <w:p>
      <w:pPr>
        <w:pStyle w:val="FirstParagraph"/>
      </w:pPr>
      <w:r>
        <w:t xml:space="preserve">Правообладателем устанавливаются следующие целевые сроки реагирования на обращения и их устранения (Service Level Agreement) в зависимости от уровня критичности: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 критичности</w:t>
            </w:r>
          </w:p>
        </w:tc>
        <w:tc>
          <w:tcPr/>
          <w:p>
            <w:pPr>
              <w:pStyle w:val="Compact"/>
            </w:pPr>
            <w:r>
              <w:t xml:space="preserve">Срок реакции (подтверждение приёма)</w:t>
            </w:r>
          </w:p>
        </w:tc>
        <w:tc>
          <w:tcPr/>
          <w:p>
            <w:pPr>
              <w:pStyle w:val="Compact"/>
            </w:pPr>
            <w:r>
              <w:t xml:space="preserve">Целевой срок устранения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Критический</w:t>
            </w:r>
          </w:p>
        </w:tc>
        <w:tc>
          <w:tcPr/>
          <w:p>
            <w:pPr>
              <w:pStyle w:val="Compact"/>
            </w:pPr>
            <w:r>
              <w:t xml:space="preserve">В течение 4 рабочих часов</w:t>
            </w:r>
          </w:p>
        </w:tc>
        <w:tc>
          <w:tcPr/>
          <w:p>
            <w:pPr>
              <w:pStyle w:val="Compact"/>
            </w:pPr>
            <w:r>
              <w:t xml:space="preserve">В течение 1 рабочего дня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</w:pPr>
            <w:r>
              <w:t xml:space="preserve">В течение 1 рабочего дня</w:t>
            </w:r>
          </w:p>
        </w:tc>
        <w:tc>
          <w:tcPr/>
          <w:p>
            <w:pPr>
              <w:pStyle w:val="Compact"/>
            </w:pPr>
            <w:r>
              <w:t xml:space="preserve">В течение 3 рабочих дней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</w:pPr>
            <w:r>
              <w:t xml:space="preserve">В течение 3 рабочих дней</w:t>
            </w:r>
          </w:p>
        </w:tc>
        <w:tc>
          <w:tcPr/>
          <w:p>
            <w:pPr>
              <w:pStyle w:val="Compact"/>
            </w:pPr>
            <w:r>
              <w:t xml:space="preserve">В очередной версии ПО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</w:pPr>
            <w:r>
              <w:t xml:space="preserve">По мере планирования очередной версии</w:t>
            </w:r>
          </w:p>
        </w:tc>
        <w:tc>
          <w:tcPr/>
          <w:p>
            <w:pPr>
              <w:pStyle w:val="Compact"/>
            </w:pPr>
            <w:r>
              <w:t xml:space="preserve">В очередной версии ПО</w:t>
            </w:r>
          </w:p>
        </w:tc>
      </w:tr>
    </w:tbl>
    <w:p>
      <w:pPr>
        <w:pStyle w:val="BodyText"/>
      </w:pPr>
      <w:r>
        <w:t xml:space="preserve">Под сроком реакции понимается срок подтверждения приёма обращения и начала его обработки. Под сроком устранения понимается срок восстановления работоспособности либо предоставления обходного решения. Указанные сроки отсчитываются от момента регистрации обращения в рабочее время технической поддержки.</w:t>
      </w:r>
    </w:p>
    <w:p>
      <w:r>
        <w:pict>
          <v:rect style="width:0;height:1.5pt" o:hralign="center" o:hrstd="t" o:hr="t"/>
        </w:pict>
      </w:r>
    </w:p>
    <w:bookmarkEnd w:id="22"/>
    <w:bookmarkStart w:id="23" w:name="Xba9be0fb69b862f3691d0c5fee46c060105af18"/>
    <w:p>
      <w:pPr>
        <w:pStyle w:val="Heading2"/>
      </w:pPr>
      <w:r>
        <w:t xml:space="preserve">5. Устранение неисправностей, выявленных в ходе эксплуатации</w:t>
      </w:r>
    </w:p>
    <w:p>
      <w:pPr>
        <w:pStyle w:val="FirstParagraph"/>
      </w:pPr>
      <w:r>
        <w:t xml:space="preserve">При выявлении неисправности (как по обращению пользователя, так и по результатам внутреннего мониторинга) выполняется следующая последовательность действий: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Регистрация и подтверждение.</w:t>
      </w:r>
      <w:r>
        <w:t xml:space="preserve"> </w:t>
      </w:r>
      <w:r>
        <w:t xml:space="preserve">Неисправность фиксируется в системе учёта, подтверждается её воспроизводимость и определяется уровень критичности.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Диагностика.</w:t>
      </w:r>
      <w:r>
        <w:t xml:space="preserve"> </w:t>
      </w:r>
      <w:r>
        <w:t xml:space="preserve">Уполномоченный специалист анализирует причину неисправности с использованием журналов работы приложения (логов), данных мониторинга, средств отладки и среды предварительного (тестового) контура. Применяется анализ истории изменений в системе контроля версий Git для локализации источника дефекта.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Разработка исправления.</w:t>
      </w:r>
      <w:r>
        <w:t xml:space="preserve"> </w:t>
      </w:r>
      <w:r>
        <w:t xml:space="preserve">Создаётся отдельная ветка исправления (hotfix), в которой разрабатывается и проверяется устранение дефекта; изменение покрывается тестами для предотвращения повторного возникновения.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Тестирование.</w:t>
      </w:r>
      <w:r>
        <w:t xml:space="preserve"> </w:t>
      </w:r>
      <w:r>
        <w:t xml:space="preserve">Исправление проходит автоматизированное и при необходимости ручное тестирование на предварительном (тестовом) контуре.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Рецензирование (код-ревью).</w:t>
      </w:r>
      <w:r>
        <w:t xml:space="preserve"> </w:t>
      </w:r>
      <w:r>
        <w:t xml:space="preserve">Изменение рецензируется уполномоченным сотрудником и принимается в основную ветку.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Развёртывание.</w:t>
      </w:r>
      <w:r>
        <w:t xml:space="preserve"> </w:t>
      </w:r>
      <w:r>
        <w:t xml:space="preserve">Исправление развёртывается на промышленный контур средствами непрерывной интеграции и доставки (CI/CD). Для критических неисправностей применяется ускоренная процедура внеочередного выпуска (срочный hotfix).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Подтверждение и закрытие.</w:t>
      </w:r>
      <w:r>
        <w:t xml:space="preserve"> </w:t>
      </w:r>
      <w:r>
        <w:t xml:space="preserve">Восстановление работоспособности подтверждается, заявитель уведомляется, обращение закрывается. Информация о неисправности и принятых мерах сохраняется в базе знаний для предупреждения аналогичных случаев.</w:t>
      </w:r>
    </w:p>
    <w:p>
      <w:pPr>
        <w:pStyle w:val="FirstParagraph"/>
      </w:pPr>
      <w:r>
        <w:t xml:space="preserve">В случае необходимости отката (если развёрнутое изменение привело к нежелательным последствиям) выполняется возврат к предыдущей стабильной версии средствами системы контроля версий и CI/CD с последующим восстановлением данных из резервной копии при необходимости.</w:t>
      </w:r>
    </w:p>
    <w:p>
      <w:r>
        <w:pict>
          <v:rect style="width:0;height:1.5pt" o:hralign="center" o:hrstd="t" o:hr="t"/>
        </w:pict>
      </w:r>
    </w:p>
    <w:bookmarkEnd w:id="23"/>
    <w:bookmarkStart w:id="27" w:name="Xc11d6fd15739ab4fe264e12fadf936103112225"/>
    <w:p>
      <w:pPr>
        <w:pStyle w:val="Heading2"/>
      </w:pPr>
      <w:r>
        <w:t xml:space="preserve">6. Выпуск обновлений и развитие Программного обеспечения</w:t>
      </w:r>
    </w:p>
    <w:bookmarkStart w:id="24" w:name="релиз-менеджмент"/>
    <w:p>
      <w:pPr>
        <w:pStyle w:val="Heading3"/>
      </w:pPr>
      <w:r>
        <w:t xml:space="preserve">6.1. Релиз-менеджмент</w:t>
      </w:r>
    </w:p>
    <w:p>
      <w:pPr>
        <w:pStyle w:val="FirstParagraph"/>
      </w:pPr>
      <w:r>
        <w:t xml:space="preserve">Выпуск обновлений Программного обеспечения осуществляется планово и внепланово: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Плановые обновления</w:t>
      </w:r>
      <w:r>
        <w:t xml:space="preserve"> </w:t>
      </w:r>
      <w:r>
        <w:t xml:space="preserve">включают новые функциональные возможности, улучшения и накопленные исправления и выпускаются в соответствии с планом развития ПО.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Внеплановые (срочные) обновления</w:t>
      </w:r>
      <w:r>
        <w:t xml:space="preserve"> </w:t>
      </w:r>
      <w:r>
        <w:t xml:space="preserve">выпускаются для устранения критических неисправностей и уязвимостей информационной безопасности.</w:t>
      </w:r>
    </w:p>
    <w:p>
      <w:pPr>
        <w:pStyle w:val="FirstParagraph"/>
      </w:pPr>
      <w:r>
        <w:t xml:space="preserve">Каждой версии Программного обеспечения присваивается уникальный номер версии в соответствии с принятой схемой версионирования. Перед выпуском версия проходит сборку, автоматизированное тестирование и проверку на предварительном (тестовом) контуре. Сведения о составе изменений каждой версии фиксируются в журнале изменений (changelog). После развёртывания выполняется контроль работоспособности (проверка ключевых функций и показателей мониторинга).</w:t>
      </w:r>
    </w:p>
    <w:bookmarkEnd w:id="24"/>
    <w:bookmarkStart w:id="25" w:name="планирование-версий-и-развитие"/>
    <w:p>
      <w:pPr>
        <w:pStyle w:val="Heading3"/>
      </w:pPr>
      <w:r>
        <w:t xml:space="preserve">6.2. Планирование версий и развитие</w:t>
      </w:r>
    </w:p>
    <w:p>
      <w:pPr>
        <w:pStyle w:val="FirstParagraph"/>
      </w:pPr>
      <w:r>
        <w:t xml:space="preserve">Совершенствование Программного обеспечения осуществляется на регулярной основе и направлено на расширение функциональных возможностей, повышение производительности, удобства использования и безопасности. Процесс развития включает: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Сбор и анализ требований</w:t>
      </w:r>
      <w:r>
        <w:t xml:space="preserve"> </w:t>
      </w:r>
      <w:r>
        <w:t xml:space="preserve">— на основе обращений и предложений пользователей, результатов эксплуатации, изменений в законодательстве о закупках и в форматах данных официальных источников, а также собственных инициатив Правообладателя.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Формирование плана развития (дорожной карты)</w:t>
      </w:r>
      <w:r>
        <w:t xml:space="preserve"> </w:t>
      </w:r>
      <w:r>
        <w:t xml:space="preserve">— приоритизация задач, формирование перечня изменений для очередных версий.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Планирование версий</w:t>
      </w:r>
      <w:r>
        <w:t xml:space="preserve"> </w:t>
      </w:r>
      <w:r>
        <w:t xml:space="preserve">— определение состава и сроков выпуска версий, распределение задач между специалистами.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Реализацию</w:t>
      </w:r>
      <w:r>
        <w:t xml:space="preserve"> </w:t>
      </w:r>
      <w:r>
        <w:t xml:space="preserve">— разработку с применением системы контроля версий Git, рецензирования кода и автоматизированного тестирования.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Выпуск и обратную связь</w:t>
      </w:r>
      <w:r>
        <w:t xml:space="preserve"> </w:t>
      </w:r>
      <w:r>
        <w:t xml:space="preserve">— выпуск версии, сбор обратной связи от пользователей и её учёт в дальнейшем планировании.</w:t>
      </w:r>
    </w:p>
    <w:p>
      <w:pPr>
        <w:pStyle w:val="FirstParagraph"/>
      </w:pPr>
      <w:r>
        <w:t xml:space="preserve">План развития актуализируется на периодической основе с учётом изменений нормативно-правовой базы Российской Федерации в сфере закупок и требований пользователей.</w:t>
      </w:r>
    </w:p>
    <w:bookmarkEnd w:id="25"/>
    <w:bookmarkStart w:id="26" w:name="X92f3d471c88c7fb320feb341a9855962b7f0184"/>
    <w:p>
      <w:pPr>
        <w:pStyle w:val="Heading3"/>
      </w:pPr>
      <w:r>
        <w:t xml:space="preserve">6.3. Актуализация эксплуатационной документации</w:t>
      </w:r>
    </w:p>
    <w:p>
      <w:pPr>
        <w:pStyle w:val="FirstParagraph"/>
      </w:pPr>
      <w:r>
        <w:t xml:space="preserve">Эксплуатационная документация (руководство пользователя и администратора, описание функциональных характеристик, инструкция по установке/настройке) поддерживается в актуальном состоянии и актуализируется при выпуске новых версий Программного обеспечения.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резервное-копирование-и-восстановление"/>
    <w:p>
      <w:pPr>
        <w:pStyle w:val="Heading2"/>
      </w:pPr>
      <w:r>
        <w:t xml:space="preserve">7. Резервное копирование и восстановление</w:t>
      </w:r>
    </w:p>
    <w:bookmarkStart w:id="28" w:name="X33128aff94758fb95c4bde3acc59f49e3b9eb3c"/>
    <w:p>
      <w:pPr>
        <w:pStyle w:val="Heading3"/>
      </w:pPr>
      <w:r>
        <w:t xml:space="preserve">7.1. Объекты и периодичность резервного копирования</w:t>
      </w:r>
    </w:p>
    <w:p>
      <w:pPr>
        <w:pStyle w:val="FirstParagraph"/>
      </w:pPr>
      <w:r>
        <w:t xml:space="preserve">В целях обеспечения сохранности данных и непрерывности эксплуатации Правообладателем организован процесс резервного копирования: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Объект резервного копирования</w:t>
            </w:r>
          </w:p>
        </w:tc>
        <w:tc>
          <w:tcPr/>
          <w:p>
            <w:pPr>
              <w:pStyle w:val="Compact"/>
            </w:pPr>
            <w:r>
              <w:t xml:space="preserve">Периодичность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Реляционные базы данных (учётные записи, фильтры, рассылки, справочные данные)</w:t>
            </w:r>
          </w:p>
        </w:tc>
        <w:tc>
          <w:tcPr/>
          <w:p>
            <w:pPr>
              <w:pStyle w:val="Compact"/>
            </w:pPr>
            <w:r>
              <w:t xml:space="preserve">Ежедневно (полная копия — еженедельно)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Индексы и данные поисковой подсистемы (полнотекстового индекса)</w:t>
            </w:r>
          </w:p>
        </w:tc>
        <w:tc>
          <w:tcPr/>
          <w:p>
            <w:pPr>
              <w:pStyle w:val="Compact"/>
            </w:pPr>
            <w:r>
              <w:t xml:space="preserve">Еженедельно (снимки/snapshots)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Конфигурационные файлы серверной части, клиентской части и обратного прокси</w:t>
            </w:r>
          </w:p>
        </w:tc>
        <w:tc>
          <w:tcPr/>
          <w:p>
            <w:pPr>
              <w:pStyle w:val="Compact"/>
            </w:pPr>
            <w:r>
              <w:t xml:space="preserve">В составе регламентных копий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Исходный код</w:t>
            </w:r>
          </w:p>
        </w:tc>
        <w:tc>
          <w:tcPr/>
          <w:p>
            <w:pPr>
              <w:pStyle w:val="Compact"/>
            </w:pPr>
            <w:r>
              <w:t xml:space="preserve">Хранится в системе контроля версий Git</w:t>
            </w:r>
          </w:p>
        </w:tc>
      </w:tr>
    </w:tbl>
    <w:p>
      <w:pPr>
        <w:pStyle w:val="BodyText"/>
      </w:pPr>
      <w:r>
        <w:t xml:space="preserve">Резервные копии хранятся в защищённом хранилище на территории Российской Федерации с контролем доступа; срок хранения резервных копий — 30 дней. Периодически выполняется контроль целостности резервных копий и проверка возможности восстановления (тестовое восстановление).</w:t>
      </w:r>
    </w:p>
    <w:bookmarkEnd w:id="28"/>
    <w:bookmarkStart w:id="29" w:name="порядок-восстановления"/>
    <w:p>
      <w:pPr>
        <w:pStyle w:val="Heading3"/>
      </w:pPr>
      <w:r>
        <w:t xml:space="preserve">7.2. Порядок восстановления</w:t>
      </w:r>
    </w:p>
    <w:p>
      <w:pPr>
        <w:pStyle w:val="FirstParagraph"/>
      </w:pPr>
      <w:r>
        <w:t xml:space="preserve">Восстановление осуществляется в случае сбоя, утраты или повреждения данных путём развёртывания Программного обеспечения из артефактов сборки и восстановления данных из последней корректной резервной копии. При утрате или повреждении индексов поисковой подсистемы поисковые данные могут быть восстановлены как из снимков, так и путём повторной индексации из первичных данных (источник — реляционная СУБД). По завершении восстановления выполняется проверка работоспособности, а факт инцидента и принятые меры фиксируются во внутреннем журнале учёта инцидентов.</w:t>
      </w:r>
    </w:p>
    <w:bookmarkEnd w:id="29"/>
    <w:bookmarkStart w:id="30" w:name="целевые-показатели-восстановления"/>
    <w:p>
      <w:pPr>
        <w:pStyle w:val="Heading3"/>
      </w:pPr>
      <w:r>
        <w:t xml:space="preserve">7.3. Целевые показатели восстановления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Показатель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 допустимое время восстановления (RTO)</w:t>
            </w:r>
          </w:p>
        </w:tc>
        <w:tc>
          <w:tcPr/>
          <w:p>
            <w:pPr>
              <w:pStyle w:val="Compact"/>
            </w:pPr>
            <w:r>
              <w:t xml:space="preserve">4 часа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 допустимая точка восстановления (RPO)</w:t>
            </w:r>
          </w:p>
        </w:tc>
        <w:tc>
          <w:tcPr/>
          <w:p>
            <w:pPr>
              <w:pStyle w:val="Compact"/>
            </w:pPr>
            <w:r>
              <w:t xml:space="preserve">24 часа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End w:id="31"/>
    <w:bookmarkStart w:id="32" w:name="Xc433ec88a9d066ea8a51d6fd5269f137380576b"/>
    <w:p>
      <w:pPr>
        <w:pStyle w:val="Heading2"/>
      </w:pPr>
      <w:r>
        <w:t xml:space="preserve">8. Обеспечение информационной безопасности при сопровождении</w:t>
      </w:r>
    </w:p>
    <w:p>
      <w:pPr>
        <w:pStyle w:val="FirstParagraph"/>
      </w:pPr>
      <w:r>
        <w:t xml:space="preserve">В рамках сопровождения Программного обеспечения обеспечивается:</w:t>
      </w:r>
    </w:p>
    <w:p>
      <w:pPr>
        <w:pStyle w:val="Compact"/>
        <w:numPr>
          <w:ilvl w:val="0"/>
          <w:numId w:val="1007"/>
        </w:numPr>
      </w:pPr>
      <w:r>
        <w:t xml:space="preserve">разграничение доступа к репозиторию исходного кода, серверной инфраструктуре и административным интерфейсам на основе принципа наименьших привилегий; доступ предоставляется ограниченному кругу уполномоченных лиц;</w:t>
      </w:r>
    </w:p>
    <w:p>
      <w:pPr>
        <w:pStyle w:val="Compact"/>
        <w:numPr>
          <w:ilvl w:val="0"/>
          <w:numId w:val="1007"/>
        </w:numPr>
      </w:pPr>
      <w:r>
        <w:t xml:space="preserve">аутентификация и авторизация пользователей с использованием механизма JWT с ограниченным сроком действия маркеров; минимальная длина пароля пользователя — 8 символов; восстановление пароля осуществляется по обращению к администратору (самостоятельный сброс не предусмотрен);</w:t>
      </w:r>
    </w:p>
    <w:p>
      <w:pPr>
        <w:pStyle w:val="Compact"/>
        <w:numPr>
          <w:ilvl w:val="0"/>
          <w:numId w:val="1007"/>
        </w:numPr>
      </w:pPr>
      <w:r>
        <w:t xml:space="preserve">защита передаваемых данных средствами протокола HTTPS (TLS) с действующим сертификатом на уровне обратного прокси-сервера;</w:t>
      </w:r>
    </w:p>
    <w:p>
      <w:pPr>
        <w:pStyle w:val="Compact"/>
        <w:numPr>
          <w:ilvl w:val="0"/>
          <w:numId w:val="1007"/>
        </w:numPr>
      </w:pPr>
      <w:r>
        <w:t xml:space="preserve">регулярное обновление используемых сторонних компонентов и оперативное устранение выявленных уязвимостей; для устранения уязвимостей применяется процедура внеочередного выпуска обновлений;</w:t>
      </w:r>
    </w:p>
    <w:p>
      <w:pPr>
        <w:pStyle w:val="Compact"/>
        <w:numPr>
          <w:ilvl w:val="0"/>
          <w:numId w:val="1007"/>
        </w:numPr>
      </w:pPr>
      <w:r>
        <w:t xml:space="preserve">ведение журналов работы и мониторинг событий безопасности. Журналируются вход и выход пользователей, ошибки приложения, обращения к программному интерфейсу (аудит доступа), запуск и остановка службы;</w:t>
      </w:r>
    </w:p>
    <w:p>
      <w:pPr>
        <w:pStyle w:val="Compact"/>
        <w:numPr>
          <w:ilvl w:val="0"/>
          <w:numId w:val="1007"/>
        </w:numPr>
      </w:pPr>
      <w:r>
        <w:t xml:space="preserve">размещение серверного оборудования и данных на территории Российской Федерации.</w:t>
      </w:r>
    </w:p>
    <w:p>
      <w:pPr>
        <w:pStyle w:val="FirstParagraph"/>
      </w:pPr>
      <w:r>
        <w:t xml:space="preserve">Обработка персональных данных осуществляется Обществом в соответствии с законодательством Российской Федерации; Общество включено в Реестр операторов, осуществляющих обработку персональных данных (Роскомнадзор), № 26-26-052889.</w:t>
      </w:r>
    </w:p>
    <w:p>
      <w:r>
        <w:pict>
          <v:rect style="width:0;height:1.5pt" o:hralign="center" o:hrstd="t" o:hr="t"/>
        </w:pict>
      </w:r>
    </w:p>
    <w:bookmarkEnd w:id="32"/>
    <w:bookmarkStart w:id="33" w:name="персонал-обеспечивающий-сопровождение"/>
    <w:p>
      <w:pPr>
        <w:pStyle w:val="Heading2"/>
      </w:pPr>
      <w:r>
        <w:t xml:space="preserve">9. Персонал, обеспечивающий сопровождение</w:t>
      </w:r>
    </w:p>
    <w:p>
      <w:pPr>
        <w:pStyle w:val="FirstParagraph"/>
      </w:pPr>
      <w:r>
        <w:t xml:space="preserve">Правообладатель располагает квалифицированным персоналом, обеспечивающим полный цикл сопровождения Программного обеспечения — приём и обработку обращений, устранение неисправностей, выпуск обновлений, администрирование инфраструктуры, резервное копирование и обеспечение информационной безопасности.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Роль</w:t>
            </w:r>
          </w:p>
        </w:tc>
        <w:tc>
          <w:tcPr/>
          <w:p>
            <w:pPr>
              <w:pStyle w:val="Compact"/>
            </w:pPr>
            <w:r>
              <w:t xml:space="preserve">Основные функции</w:t>
            </w:r>
          </w:p>
        </w:tc>
        <w:tc>
          <w:tcPr/>
          <w:p>
            <w:pPr>
              <w:pStyle w:val="Compact"/>
            </w:pPr>
            <w:r>
              <w:t xml:space="preserve">Требуемая квалификация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Руководитель / ответственное лицо</w:t>
            </w:r>
          </w:p>
        </w:tc>
        <w:tc>
          <w:tcPr/>
          <w:p>
            <w:pPr>
              <w:pStyle w:val="Compact"/>
            </w:pPr>
            <w:r>
              <w:t xml:space="preserve">Общее руководство, организация и контроль процессов сопровождения, планирование развития, взаимодействие с пользователями по существенным вопросам</w:t>
            </w:r>
          </w:p>
        </w:tc>
        <w:tc>
          <w:tcPr/>
          <w:p>
            <w:pPr>
              <w:pStyle w:val="Compact"/>
            </w:pPr>
            <w:r>
              <w:t xml:space="preserve">Высшее образование, опыт руководства разработкой и сопровождением программных продуктов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Разработчик</w:t>
            </w:r>
          </w:p>
        </w:tc>
        <w:tc>
          <w:tcPr/>
          <w:p>
            <w:pPr>
              <w:pStyle w:val="Compact"/>
            </w:pPr>
            <w:r>
              <w:t xml:space="preserve">Разработка, доработка и сопровождение серверной и клиентской частей, устранение неисправностей, выпуск обновлений</w:t>
            </w:r>
          </w:p>
        </w:tc>
        <w:tc>
          <w:tcPr/>
          <w:p>
            <w:pPr>
              <w:pStyle w:val="Compact"/>
            </w:pPr>
            <w:r>
              <w:t xml:space="preserve">Высшее техническое образование либо подтверждённый опыт; владение технологиями серверной (.NET / C#) и клиентской (Next.js / React / TypeScript) частей, реляционной СУБД (PostgreSQL / Postgres Pro / Microsoft SQL Server), поисковой подсистемой (ClickHouse / Elasticsearch), системой контроля версий Git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Администрирование серверной инфраструктуры</w:t>
            </w:r>
          </w:p>
        </w:tc>
        <w:tc>
          <w:tcPr/>
          <w:p>
            <w:pPr>
              <w:pStyle w:val="Compact"/>
            </w:pPr>
            <w:r>
              <w:t xml:space="preserve">Администрирование серверной инфраструктуры, развёртывание и сопровождение CI/CD, резервное копирование и восстановление, мониторинг, обеспечение информационной безопасности</w:t>
            </w:r>
          </w:p>
        </w:tc>
        <w:tc>
          <w:tcPr/>
          <w:p>
            <w:pPr>
              <w:pStyle w:val="Compact"/>
            </w:pPr>
            <w:r>
              <w:t xml:space="preserve">Высшее техническое образование либо подтверждённый опыт; администрирование ОС семейства Linux, включая отечественную ОС Astra Linux, реляционной СУБД, поисковой подсистемы и обратного прокси-сервера; навыки сопровождения CI/CD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Техническая поддержка</w:t>
            </w:r>
          </w:p>
        </w:tc>
        <w:tc>
          <w:tcPr/>
          <w:p>
            <w:pPr>
              <w:pStyle w:val="Compact"/>
            </w:pPr>
            <w:r>
              <w:t xml:space="preserve">Приём, регистрация, классификация и сопровождение обращений пользователей; консультирование; контроль соблюдения сроков (SLA)</w:t>
            </w:r>
          </w:p>
        </w:tc>
        <w:tc>
          <w:tcPr/>
          <w:p>
            <w:pPr>
              <w:pStyle w:val="Compact"/>
            </w:pPr>
            <w:r>
              <w:t xml:space="preserve">Знание функциональных возможностей ПО, навыки работы с пользователями</w:t>
            </w:r>
          </w:p>
        </w:tc>
      </w:tr>
    </w:tbl>
    <w:p>
      <w:pPr>
        <w:pStyle w:val="BodyText"/>
      </w:pPr>
      <w:r>
        <w:t xml:space="preserve">Квалификация персонала поддерживается за счёт практического опыта эксплуатации и развития Программного обеспечения, изучения изменений нормативно-правовой базы Российской Федерации в сфере закупок и используемых технологий. Указанный состав и квалификация являются достаточными для обеспечения непрерывного сопровождения Программного обеспечения, включая приём и обработку обращений, устранение неисправностей и выпуск обновлений в установленные сроки. При необходимости Правообладатель вправе привлекать дополнительных квалифицированных специалистов.</w:t>
      </w:r>
    </w:p>
    <w:p>
      <w:r>
        <w:pict>
          <v:rect style="width:0;height:1.5pt" o:hralign="center" o:hrstd="t" o:hr="t"/>
        </w:pict>
      </w:r>
    </w:p>
    <w:bookmarkEnd w:id="33"/>
    <w:bookmarkStart w:id="34" w:name="заключительные-положения"/>
    <w:p>
      <w:pPr>
        <w:pStyle w:val="Heading2"/>
      </w:pPr>
      <w:r>
        <w:t xml:space="preserve">10. Заключительные положения</w:t>
      </w:r>
    </w:p>
    <w:p>
      <w:pPr>
        <w:pStyle w:val="FirstParagraph"/>
      </w:pPr>
      <w:r>
        <w:t xml:space="preserve">Изложенные в настоящем документе процессы обеспечивают полноценное сопровождение программного обеспечения «КРАСОФТ Поиск» на всём протяжении его эксплуатации, включая приём и обработку обращений пользователей, устранение неисправностей, выявленных в ходе эксплуатации, выпуск обновлений и совершенствование Программного обеспечения, резервное копирование и восстановление данных, а также обеспечение информационной безопасности.</w:t>
      </w:r>
    </w:p>
    <w:p>
      <w:pPr>
        <w:pStyle w:val="BodyText"/>
      </w:pPr>
      <w:r>
        <w:t xml:space="preserve">Правообладатель — ООО «Красофт» — располагает необходимым квалифицированным персоналом, программно-технической инфраструктурой и организационными процедурами для обеспечения такой поддержки, что соответствует требованиям постановления Правительства Российской Федерации от 16 ноября 2015 г. № 1236. Настоящий документ подлежит актуализации при выпуске новых версий Программного обеспечения.</w:t>
      </w:r>
    </w:p>
    <w:bookmarkEnd w:id="34"/>
    <w:bookmarkEnd w:id="35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2026-07-07T16:16:11Z</dcterms:created>
  <dcterms:modified xsi:type="dcterms:W3CDTF">2026-07-07T16:16:11Z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